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93781" w14:textId="5BF45F41" w:rsidR="007B53E3" w:rsidRPr="00C60B92" w:rsidRDefault="00012956">
      <w:pPr>
        <w:spacing w:line="36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00391333" w:rsidRPr="00C60B92">
        <w:rPr>
          <w:rFonts w:ascii="Times New Roman" w:hAnsi="Times New Roman" w:cs="Times New Roman"/>
          <w:sz w:val="20"/>
          <w:szCs w:val="20"/>
        </w:rPr>
        <w:t xml:space="preserve"> </w:t>
      </w:r>
    </w:p>
    <w:p w14:paraId="3FC32BF3" w14:textId="77777777" w:rsidR="007B53E3" w:rsidRPr="00C60B92" w:rsidRDefault="007B53E3">
      <w:pPr>
        <w:spacing w:line="360" w:lineRule="auto"/>
        <w:jc w:val="right"/>
        <w:rPr>
          <w:rFonts w:ascii="Times New Roman" w:hAnsi="Times New Roman" w:cs="Times New Roman"/>
          <w:sz w:val="20"/>
          <w:szCs w:val="20"/>
        </w:rPr>
      </w:pPr>
    </w:p>
    <w:p w14:paraId="3D79EC2F" w14:textId="77777777" w:rsidR="007B53E3" w:rsidRPr="008E17C8" w:rsidRDefault="007B53E3">
      <w:pPr>
        <w:spacing w:line="360" w:lineRule="auto"/>
        <w:jc w:val="right"/>
        <w:rPr>
          <w:rFonts w:ascii="Times New Roman" w:hAnsi="Times New Roman" w:cs="Times New Roman"/>
          <w:i/>
          <w:sz w:val="22"/>
          <w:szCs w:val="22"/>
        </w:rPr>
      </w:pPr>
      <w:r w:rsidRPr="008E17C8">
        <w:rPr>
          <w:rFonts w:ascii="Times New Roman" w:hAnsi="Times New Roman" w:cs="Times New Roman"/>
          <w:i/>
          <w:sz w:val="22"/>
          <w:szCs w:val="22"/>
        </w:rPr>
        <w:t>Załącznik do Uchwały Zarządu</w:t>
      </w:r>
    </w:p>
    <w:p w14:paraId="096697ED" w14:textId="5DD28FC0" w:rsidR="007B53E3" w:rsidRPr="007C10D2" w:rsidRDefault="007B53E3">
      <w:pPr>
        <w:spacing w:line="360" w:lineRule="auto"/>
        <w:jc w:val="right"/>
        <w:rPr>
          <w:rFonts w:ascii="Times New Roman" w:hAnsi="Times New Roman" w:cs="Times New Roman"/>
          <w:i/>
          <w:sz w:val="22"/>
          <w:szCs w:val="22"/>
        </w:rPr>
      </w:pPr>
      <w:r w:rsidRPr="007C10D2">
        <w:rPr>
          <w:rFonts w:ascii="Times New Roman" w:hAnsi="Times New Roman" w:cs="Times New Roman"/>
          <w:i/>
          <w:sz w:val="22"/>
          <w:szCs w:val="22"/>
        </w:rPr>
        <w:t xml:space="preserve">Banku Spółdzielczego w </w:t>
      </w:r>
      <w:r w:rsidR="007309F4" w:rsidRPr="007C10D2">
        <w:rPr>
          <w:rFonts w:ascii="Times New Roman" w:hAnsi="Times New Roman" w:cs="Times New Roman"/>
          <w:i/>
          <w:sz w:val="22"/>
          <w:szCs w:val="22"/>
        </w:rPr>
        <w:t>Goworowie</w:t>
      </w:r>
      <w:r w:rsidRPr="007C10D2">
        <w:rPr>
          <w:rFonts w:ascii="Times New Roman" w:hAnsi="Times New Roman" w:cs="Times New Roman"/>
          <w:i/>
          <w:sz w:val="22"/>
          <w:szCs w:val="22"/>
        </w:rPr>
        <w:t>.</w:t>
      </w:r>
    </w:p>
    <w:p w14:paraId="3FDF1233" w14:textId="73E13457" w:rsidR="007B53E3" w:rsidRPr="007C10D2" w:rsidRDefault="007B53E3">
      <w:pPr>
        <w:spacing w:line="360" w:lineRule="auto"/>
        <w:jc w:val="right"/>
        <w:rPr>
          <w:rFonts w:ascii="Times New Roman" w:hAnsi="Times New Roman" w:cs="Times New Roman"/>
          <w:i/>
          <w:sz w:val="22"/>
          <w:szCs w:val="22"/>
        </w:rPr>
      </w:pPr>
      <w:r w:rsidRPr="007C10D2">
        <w:rPr>
          <w:rFonts w:ascii="Times New Roman" w:hAnsi="Times New Roman" w:cs="Times New Roman"/>
          <w:i/>
          <w:sz w:val="22"/>
          <w:szCs w:val="22"/>
        </w:rPr>
        <w:t xml:space="preserve">nr </w:t>
      </w:r>
      <w:r w:rsidR="00317544" w:rsidRPr="007C10D2">
        <w:rPr>
          <w:rFonts w:ascii="Times New Roman" w:hAnsi="Times New Roman" w:cs="Times New Roman"/>
          <w:i/>
          <w:sz w:val="22"/>
          <w:szCs w:val="22"/>
        </w:rPr>
        <w:t>71a/2025</w:t>
      </w:r>
      <w:r w:rsidRPr="007C10D2">
        <w:rPr>
          <w:rFonts w:ascii="Times New Roman" w:hAnsi="Times New Roman" w:cs="Times New Roman"/>
          <w:i/>
          <w:sz w:val="22"/>
          <w:szCs w:val="22"/>
        </w:rPr>
        <w:t xml:space="preserve">  z dnia </w:t>
      </w:r>
      <w:r w:rsidR="004C1AA8" w:rsidRPr="007C10D2">
        <w:rPr>
          <w:rFonts w:ascii="Times New Roman" w:hAnsi="Times New Roman" w:cs="Times New Roman"/>
          <w:i/>
          <w:sz w:val="22"/>
          <w:szCs w:val="22"/>
        </w:rPr>
        <w:t>05.06.2025</w:t>
      </w:r>
      <w:r w:rsidRPr="007C10D2">
        <w:rPr>
          <w:rFonts w:ascii="Times New Roman" w:hAnsi="Times New Roman" w:cs="Times New Roman"/>
          <w:i/>
          <w:sz w:val="22"/>
          <w:szCs w:val="22"/>
        </w:rPr>
        <w:t>.</w:t>
      </w:r>
    </w:p>
    <w:p w14:paraId="71EA5CCE" w14:textId="3CB1A4C0" w:rsidR="00AB0340" w:rsidRPr="007C10D2" w:rsidRDefault="00AB0340" w:rsidP="00AB0340">
      <w:pPr>
        <w:spacing w:line="360" w:lineRule="auto"/>
        <w:jc w:val="right"/>
        <w:rPr>
          <w:rFonts w:ascii="Times New Roman" w:hAnsi="Times New Roman" w:cs="Times New Roman"/>
          <w:i/>
          <w:sz w:val="22"/>
          <w:szCs w:val="22"/>
        </w:rPr>
      </w:pPr>
      <w:r w:rsidRPr="007C10D2">
        <w:rPr>
          <w:rFonts w:ascii="Times New Roman" w:hAnsi="Times New Roman" w:cs="Times New Roman"/>
          <w:i/>
          <w:sz w:val="22"/>
          <w:szCs w:val="22"/>
        </w:rPr>
        <w:t>oraz do Uchwały Rady Nadzorczej</w:t>
      </w:r>
    </w:p>
    <w:p w14:paraId="46F737EE" w14:textId="493E804D" w:rsidR="00AB0340" w:rsidRPr="007C10D2" w:rsidRDefault="00AB0340" w:rsidP="00AB0340">
      <w:pPr>
        <w:spacing w:line="360" w:lineRule="auto"/>
        <w:jc w:val="right"/>
        <w:rPr>
          <w:rFonts w:ascii="Times New Roman" w:hAnsi="Times New Roman" w:cs="Times New Roman"/>
          <w:i/>
          <w:sz w:val="22"/>
          <w:szCs w:val="22"/>
        </w:rPr>
      </w:pPr>
      <w:r w:rsidRPr="007C10D2">
        <w:rPr>
          <w:rFonts w:ascii="Times New Roman" w:hAnsi="Times New Roman" w:cs="Times New Roman"/>
          <w:i/>
          <w:sz w:val="22"/>
          <w:szCs w:val="22"/>
        </w:rPr>
        <w:t xml:space="preserve">Banku Spółdzielczego w </w:t>
      </w:r>
      <w:r w:rsidR="00012956" w:rsidRPr="007C10D2">
        <w:rPr>
          <w:rFonts w:ascii="Times New Roman" w:hAnsi="Times New Roman" w:cs="Times New Roman"/>
          <w:i/>
          <w:sz w:val="22"/>
          <w:szCs w:val="22"/>
        </w:rPr>
        <w:t>Goworowie</w:t>
      </w:r>
      <w:r w:rsidRPr="007C10D2">
        <w:rPr>
          <w:rFonts w:ascii="Times New Roman" w:hAnsi="Times New Roman" w:cs="Times New Roman"/>
          <w:i/>
          <w:sz w:val="22"/>
          <w:szCs w:val="22"/>
        </w:rPr>
        <w:t>.</w:t>
      </w:r>
    </w:p>
    <w:p w14:paraId="50D75425" w14:textId="21A1E891" w:rsidR="00012956" w:rsidRPr="007C10D2" w:rsidRDefault="00AB0340" w:rsidP="00AB0340">
      <w:pPr>
        <w:spacing w:line="360" w:lineRule="auto"/>
        <w:jc w:val="right"/>
        <w:rPr>
          <w:rFonts w:ascii="Times New Roman" w:hAnsi="Times New Roman" w:cs="Times New Roman"/>
          <w:i/>
          <w:sz w:val="22"/>
          <w:szCs w:val="22"/>
        </w:rPr>
      </w:pPr>
      <w:r w:rsidRPr="007C10D2">
        <w:rPr>
          <w:rFonts w:ascii="Times New Roman" w:hAnsi="Times New Roman" w:cs="Times New Roman"/>
          <w:i/>
          <w:sz w:val="22"/>
          <w:szCs w:val="22"/>
        </w:rPr>
        <w:t xml:space="preserve">nr </w:t>
      </w:r>
      <w:r w:rsidR="00012956" w:rsidRPr="007C10D2">
        <w:rPr>
          <w:rFonts w:ascii="Times New Roman" w:hAnsi="Times New Roman" w:cs="Times New Roman"/>
          <w:i/>
          <w:sz w:val="22"/>
          <w:szCs w:val="22"/>
        </w:rPr>
        <w:t>51/2025</w:t>
      </w:r>
      <w:r w:rsidRPr="007C10D2">
        <w:rPr>
          <w:rFonts w:ascii="Times New Roman" w:hAnsi="Times New Roman" w:cs="Times New Roman"/>
          <w:i/>
          <w:sz w:val="22"/>
          <w:szCs w:val="22"/>
        </w:rPr>
        <w:t xml:space="preserve">.  z dnia </w:t>
      </w:r>
      <w:r w:rsidR="00012956" w:rsidRPr="007C10D2">
        <w:rPr>
          <w:rFonts w:ascii="Times New Roman" w:hAnsi="Times New Roman" w:cs="Times New Roman"/>
          <w:i/>
          <w:sz w:val="22"/>
          <w:szCs w:val="22"/>
        </w:rPr>
        <w:t>05.06.2025</w:t>
      </w:r>
      <w:r w:rsidR="004C1AA8" w:rsidRPr="007C10D2">
        <w:rPr>
          <w:rFonts w:ascii="Times New Roman" w:hAnsi="Times New Roman" w:cs="Times New Roman"/>
          <w:i/>
          <w:sz w:val="22"/>
          <w:szCs w:val="22"/>
        </w:rPr>
        <w:t>.</w:t>
      </w:r>
    </w:p>
    <w:p w14:paraId="521B070D" w14:textId="7D93DB16" w:rsidR="00AB0340" w:rsidRPr="007C10D2" w:rsidRDefault="00AB0340" w:rsidP="00AB0340">
      <w:pPr>
        <w:spacing w:line="360" w:lineRule="auto"/>
        <w:jc w:val="right"/>
        <w:rPr>
          <w:rFonts w:ascii="Times New Roman" w:hAnsi="Times New Roman" w:cs="Times New Roman"/>
          <w:i/>
          <w:sz w:val="22"/>
          <w:szCs w:val="22"/>
        </w:rPr>
      </w:pPr>
      <w:r w:rsidRPr="007C10D2">
        <w:rPr>
          <w:rFonts w:ascii="Times New Roman" w:hAnsi="Times New Roman" w:cs="Times New Roman"/>
          <w:i/>
          <w:sz w:val="22"/>
          <w:szCs w:val="22"/>
        </w:rPr>
        <w:t>.</w:t>
      </w:r>
    </w:p>
    <w:p w14:paraId="596ECCB6" w14:textId="77777777" w:rsidR="007B53E3" w:rsidRPr="007C10D2" w:rsidRDefault="007B53E3">
      <w:pPr>
        <w:spacing w:line="360" w:lineRule="auto"/>
        <w:jc w:val="center"/>
        <w:rPr>
          <w:rFonts w:ascii="Times New Roman" w:hAnsi="Times New Roman" w:cs="Times New Roman"/>
        </w:rPr>
      </w:pPr>
    </w:p>
    <w:p w14:paraId="46E36696" w14:textId="77777777" w:rsidR="007B53E3" w:rsidRPr="007C10D2" w:rsidRDefault="007B53E3" w:rsidP="001403B6">
      <w:pPr>
        <w:spacing w:line="360" w:lineRule="auto"/>
        <w:rPr>
          <w:rFonts w:ascii="Times New Roman" w:hAnsi="Times New Roman" w:cs="Times New Roman"/>
          <w14:shadow w14:blurRad="50800" w14:dist="38100" w14:dir="2700000" w14:sx="100000" w14:sy="100000" w14:kx="0" w14:ky="0" w14:algn="tl">
            <w14:srgbClr w14:val="000000">
              <w14:alpha w14:val="60000"/>
            </w14:srgbClr>
          </w14:shadow>
        </w:rPr>
      </w:pPr>
    </w:p>
    <w:p w14:paraId="1CE3542C" w14:textId="77777777" w:rsidR="007B53E3" w:rsidRPr="007C10D2" w:rsidRDefault="007B53E3">
      <w:pPr>
        <w:spacing w:line="360" w:lineRule="auto"/>
        <w:jc w:val="center"/>
        <w:rPr>
          <w:rFonts w:ascii="Times New Roman" w:hAnsi="Times New Roman" w:cs="Times New Roman"/>
          <w14:shadow w14:blurRad="50800" w14:dist="38100" w14:dir="2700000" w14:sx="100000" w14:sy="100000" w14:kx="0" w14:ky="0" w14:algn="tl">
            <w14:srgbClr w14:val="000000">
              <w14:alpha w14:val="60000"/>
            </w14:srgbClr>
          </w14:shadow>
        </w:rPr>
      </w:pPr>
    </w:p>
    <w:p w14:paraId="5820E0FE" w14:textId="77777777" w:rsidR="00A517CA" w:rsidRPr="007C10D2" w:rsidRDefault="007B53E3">
      <w:pPr>
        <w:spacing w:line="360" w:lineRule="auto"/>
        <w:jc w:val="center"/>
        <w:rPr>
          <w:rFonts w:ascii="Times New Roman" w:hAnsi="Times New Roman" w:cs="Times New Roman"/>
          <w:b/>
          <w:bCs/>
          <w:sz w:val="32"/>
          <w:szCs w:val="32"/>
          <w14:shadow w14:blurRad="50800" w14:dist="38100" w14:dir="2700000" w14:sx="100000" w14:sy="100000" w14:kx="0" w14:ky="0" w14:algn="tl">
            <w14:srgbClr w14:val="000000">
              <w14:alpha w14:val="60000"/>
            </w14:srgbClr>
          </w14:shadow>
        </w:rPr>
      </w:pPr>
      <w:r w:rsidRPr="007C10D2">
        <w:rPr>
          <w:rFonts w:ascii="Times New Roman" w:hAnsi="Times New Roman" w:cs="Times New Roman"/>
          <w:b/>
          <w:bCs/>
          <w:sz w:val="32"/>
          <w:szCs w:val="32"/>
          <w14:shadow w14:blurRad="50800" w14:dist="38100" w14:dir="2700000" w14:sx="100000" w14:sy="100000" w14:kx="0" w14:ky="0" w14:algn="tl">
            <w14:srgbClr w14:val="000000">
              <w14:alpha w14:val="60000"/>
            </w14:srgbClr>
          </w14:shadow>
        </w:rPr>
        <w:t xml:space="preserve"> </w:t>
      </w:r>
      <w:r w:rsidR="00784B50" w:rsidRPr="007C10D2">
        <w:rPr>
          <w:rFonts w:ascii="Times New Roman" w:hAnsi="Times New Roman" w:cs="Times New Roman"/>
          <w:b/>
          <w:bCs/>
          <w:sz w:val="32"/>
          <w:szCs w:val="32"/>
          <w14:shadow w14:blurRad="50800" w14:dist="38100" w14:dir="2700000" w14:sx="100000" w14:sy="100000" w14:kx="0" w14:ky="0" w14:algn="tl">
            <w14:srgbClr w14:val="000000">
              <w14:alpha w14:val="60000"/>
            </w14:srgbClr>
          </w14:shadow>
        </w:rPr>
        <w:t xml:space="preserve">Polityka </w:t>
      </w:r>
      <w:r w:rsidRPr="007C10D2">
        <w:rPr>
          <w:rFonts w:ascii="Times New Roman" w:hAnsi="Times New Roman" w:cs="Times New Roman"/>
          <w:b/>
          <w:bCs/>
          <w:sz w:val="32"/>
          <w:szCs w:val="32"/>
          <w14:shadow w14:blurRad="50800" w14:dist="38100" w14:dir="2700000" w14:sx="100000" w14:sy="100000" w14:kx="0" w14:ky="0" w14:algn="tl">
            <w14:srgbClr w14:val="000000">
              <w14:alpha w14:val="60000"/>
            </w14:srgbClr>
          </w14:shadow>
        </w:rPr>
        <w:t>informac</w:t>
      </w:r>
      <w:r w:rsidR="008E52B9" w:rsidRPr="007C10D2">
        <w:rPr>
          <w:rFonts w:ascii="Times New Roman" w:hAnsi="Times New Roman" w:cs="Times New Roman"/>
          <w:b/>
          <w:bCs/>
          <w:sz w:val="32"/>
          <w:szCs w:val="32"/>
          <w14:shadow w14:blurRad="50800" w14:dist="38100" w14:dir="2700000" w14:sx="100000" w14:sy="100000" w14:kx="0" w14:ky="0" w14:algn="tl">
            <w14:srgbClr w14:val="000000">
              <w14:alpha w14:val="60000"/>
            </w14:srgbClr>
          </w14:shadow>
        </w:rPr>
        <w:t>y</w:t>
      </w:r>
      <w:r w:rsidRPr="007C10D2">
        <w:rPr>
          <w:rFonts w:ascii="Times New Roman" w:hAnsi="Times New Roman" w:cs="Times New Roman"/>
          <w:b/>
          <w:bCs/>
          <w:sz w:val="32"/>
          <w:szCs w:val="32"/>
          <w14:shadow w14:blurRad="50800" w14:dist="38100" w14:dir="2700000" w14:sx="100000" w14:sy="100000" w14:kx="0" w14:ky="0" w14:algn="tl">
            <w14:srgbClr w14:val="000000">
              <w14:alpha w14:val="60000"/>
            </w14:srgbClr>
          </w14:shadow>
        </w:rPr>
        <w:t>j</w:t>
      </w:r>
      <w:r w:rsidR="008E52B9" w:rsidRPr="007C10D2">
        <w:rPr>
          <w:rFonts w:ascii="Times New Roman" w:hAnsi="Times New Roman" w:cs="Times New Roman"/>
          <w:b/>
          <w:bCs/>
          <w:sz w:val="32"/>
          <w:szCs w:val="32"/>
          <w14:shadow w14:blurRad="50800" w14:dist="38100" w14:dir="2700000" w14:sx="100000" w14:sy="100000" w14:kx="0" w14:ky="0" w14:algn="tl">
            <w14:srgbClr w14:val="000000">
              <w14:alpha w14:val="60000"/>
            </w14:srgbClr>
          </w14:shadow>
        </w:rPr>
        <w:t>na</w:t>
      </w:r>
      <w:r w:rsidRPr="007C10D2">
        <w:rPr>
          <w:rFonts w:ascii="Times New Roman" w:hAnsi="Times New Roman" w:cs="Times New Roman"/>
          <w:b/>
          <w:bCs/>
          <w:sz w:val="32"/>
          <w:szCs w:val="32"/>
          <w14:shadow w14:blurRad="50800" w14:dist="38100" w14:dir="2700000" w14:sx="100000" w14:sy="100000" w14:kx="0" w14:ky="0" w14:algn="tl">
            <w14:srgbClr w14:val="000000">
              <w14:alpha w14:val="60000"/>
            </w14:srgbClr>
          </w14:shadow>
        </w:rPr>
        <w:t xml:space="preserve"> </w:t>
      </w:r>
    </w:p>
    <w:p w14:paraId="00645548" w14:textId="42948DDA" w:rsidR="007B53E3" w:rsidRPr="007C10D2" w:rsidRDefault="007B53E3">
      <w:pPr>
        <w:spacing w:line="360" w:lineRule="auto"/>
        <w:jc w:val="center"/>
        <w:rPr>
          <w:rFonts w:ascii="Times New Roman" w:hAnsi="Times New Roman" w:cs="Times New Roman"/>
          <w:b/>
          <w:bCs/>
          <w:sz w:val="32"/>
          <w:szCs w:val="32"/>
          <w14:shadow w14:blurRad="50800" w14:dist="38100" w14:dir="2700000" w14:sx="100000" w14:sy="100000" w14:kx="0" w14:ky="0" w14:algn="tl">
            <w14:srgbClr w14:val="000000">
              <w14:alpha w14:val="60000"/>
            </w14:srgbClr>
          </w14:shadow>
        </w:rPr>
      </w:pPr>
      <w:r w:rsidRPr="007C10D2">
        <w:rPr>
          <w:rFonts w:ascii="Times New Roman" w:hAnsi="Times New Roman" w:cs="Times New Roman"/>
          <w:b/>
          <w:bCs/>
          <w:sz w:val="32"/>
          <w:szCs w:val="32"/>
          <w14:shadow w14:blurRad="50800" w14:dist="38100" w14:dir="2700000" w14:sx="100000" w14:sy="100000" w14:kx="0" w14:ky="0" w14:algn="tl">
            <w14:srgbClr w14:val="000000">
              <w14:alpha w14:val="60000"/>
            </w14:srgbClr>
          </w14:shadow>
        </w:rPr>
        <w:t>Banku Spółdzielcz</w:t>
      </w:r>
      <w:r w:rsidR="008E52B9" w:rsidRPr="007C10D2">
        <w:rPr>
          <w:rFonts w:ascii="Times New Roman" w:hAnsi="Times New Roman" w:cs="Times New Roman"/>
          <w:b/>
          <w:bCs/>
          <w:sz w:val="32"/>
          <w:szCs w:val="32"/>
          <w14:shadow w14:blurRad="50800" w14:dist="38100" w14:dir="2700000" w14:sx="100000" w14:sy="100000" w14:kx="0" w14:ky="0" w14:algn="tl">
            <w14:srgbClr w14:val="000000">
              <w14:alpha w14:val="60000"/>
            </w14:srgbClr>
          </w14:shadow>
        </w:rPr>
        <w:t>ego</w:t>
      </w:r>
      <w:r w:rsidRPr="007C10D2">
        <w:rPr>
          <w:rFonts w:ascii="Times New Roman" w:hAnsi="Times New Roman" w:cs="Times New Roman"/>
          <w:b/>
          <w:bCs/>
          <w:sz w:val="32"/>
          <w:szCs w:val="32"/>
          <w14:shadow w14:blurRad="50800" w14:dist="38100" w14:dir="2700000" w14:sx="100000" w14:sy="100000" w14:kx="0" w14:ky="0" w14:algn="tl">
            <w14:srgbClr w14:val="000000">
              <w14:alpha w14:val="60000"/>
            </w14:srgbClr>
          </w14:shadow>
        </w:rPr>
        <w:t xml:space="preserve"> w </w:t>
      </w:r>
      <w:r w:rsidR="001403B6" w:rsidRPr="007C10D2">
        <w:rPr>
          <w:rFonts w:ascii="Times New Roman" w:hAnsi="Times New Roman" w:cs="Times New Roman"/>
          <w:b/>
          <w:bCs/>
          <w:sz w:val="32"/>
          <w:szCs w:val="32"/>
          <w14:shadow w14:blurRad="50800" w14:dist="38100" w14:dir="2700000" w14:sx="100000" w14:sy="100000" w14:kx="0" w14:ky="0" w14:algn="tl">
            <w14:srgbClr w14:val="000000">
              <w14:alpha w14:val="60000"/>
            </w14:srgbClr>
          </w14:shadow>
        </w:rPr>
        <w:t>Goworowie</w:t>
      </w:r>
    </w:p>
    <w:p w14:paraId="242858F1" w14:textId="77777777" w:rsidR="007B53E3" w:rsidRPr="007C10D2" w:rsidRDefault="007B53E3">
      <w:pPr>
        <w:spacing w:line="360" w:lineRule="auto"/>
        <w:jc w:val="center"/>
        <w:rPr>
          <w:rFonts w:ascii="Times New Roman" w:hAnsi="Times New Roman" w:cs="Times New Roman"/>
          <w:b/>
          <w:bCs/>
          <w:sz w:val="32"/>
          <w:szCs w:val="32"/>
          <w14:shadow w14:blurRad="50800" w14:dist="38100" w14:dir="2700000" w14:sx="100000" w14:sy="100000" w14:kx="0" w14:ky="0" w14:algn="tl">
            <w14:srgbClr w14:val="000000">
              <w14:alpha w14:val="60000"/>
            </w14:srgbClr>
          </w14:shadow>
        </w:rPr>
      </w:pPr>
    </w:p>
    <w:p w14:paraId="75AC39EB" w14:textId="77777777" w:rsidR="007B53E3" w:rsidRPr="007C10D2" w:rsidRDefault="007B53E3">
      <w:pPr>
        <w:spacing w:line="360" w:lineRule="auto"/>
        <w:jc w:val="center"/>
        <w:rPr>
          <w:rFonts w:ascii="Times New Roman" w:hAnsi="Times New Roman" w:cs="Times New Roman"/>
          <w:i/>
          <w:iCs/>
          <w14:shadow w14:blurRad="50800" w14:dist="38100" w14:dir="2700000" w14:sx="100000" w14:sy="100000" w14:kx="0" w14:ky="0" w14:algn="tl">
            <w14:srgbClr w14:val="000000">
              <w14:alpha w14:val="60000"/>
            </w14:srgbClr>
          </w14:shadow>
        </w:rPr>
      </w:pPr>
    </w:p>
    <w:p w14:paraId="6B36D305" w14:textId="77777777" w:rsidR="007B53E3" w:rsidRPr="007C10D2" w:rsidRDefault="007B53E3">
      <w:pPr>
        <w:spacing w:line="360" w:lineRule="auto"/>
        <w:jc w:val="center"/>
        <w:rPr>
          <w:rFonts w:ascii="Times New Roman" w:hAnsi="Times New Roman" w:cs="Times New Roman"/>
          <w:i/>
          <w:iCs/>
          <w14:shadow w14:blurRad="50800" w14:dist="38100" w14:dir="2700000" w14:sx="100000" w14:sy="100000" w14:kx="0" w14:ky="0" w14:algn="tl">
            <w14:srgbClr w14:val="000000">
              <w14:alpha w14:val="60000"/>
            </w14:srgbClr>
          </w14:shadow>
        </w:rPr>
      </w:pPr>
    </w:p>
    <w:p w14:paraId="314A6153" w14:textId="77777777" w:rsidR="007B53E3" w:rsidRPr="007C10D2" w:rsidRDefault="007B53E3">
      <w:pPr>
        <w:spacing w:line="360" w:lineRule="auto"/>
        <w:jc w:val="center"/>
        <w:rPr>
          <w:rFonts w:ascii="Times New Roman" w:hAnsi="Times New Roman" w:cs="Times New Roman"/>
          <w:i/>
          <w:iCs/>
          <w14:shadow w14:blurRad="50800" w14:dist="38100" w14:dir="2700000" w14:sx="100000" w14:sy="100000" w14:kx="0" w14:ky="0" w14:algn="tl">
            <w14:srgbClr w14:val="000000">
              <w14:alpha w14:val="60000"/>
            </w14:srgbClr>
          </w14:shadow>
        </w:rPr>
      </w:pPr>
    </w:p>
    <w:p w14:paraId="0D848665" w14:textId="77777777" w:rsidR="007B53E3" w:rsidRPr="007C10D2" w:rsidRDefault="007B53E3">
      <w:pPr>
        <w:spacing w:line="360" w:lineRule="auto"/>
        <w:jc w:val="center"/>
        <w:rPr>
          <w:rFonts w:ascii="Times New Roman" w:hAnsi="Times New Roman" w:cs="Times New Roman"/>
          <w:i/>
          <w:iCs/>
          <w14:shadow w14:blurRad="50800" w14:dist="38100" w14:dir="2700000" w14:sx="100000" w14:sy="100000" w14:kx="0" w14:ky="0" w14:algn="tl">
            <w14:srgbClr w14:val="000000">
              <w14:alpha w14:val="60000"/>
            </w14:srgbClr>
          </w14:shadow>
        </w:rPr>
      </w:pPr>
    </w:p>
    <w:p w14:paraId="302490FB" w14:textId="77777777" w:rsidR="007B53E3" w:rsidRPr="007C10D2" w:rsidRDefault="007B53E3">
      <w:pPr>
        <w:spacing w:line="360" w:lineRule="auto"/>
        <w:jc w:val="center"/>
        <w:rPr>
          <w:rFonts w:ascii="Times New Roman" w:hAnsi="Times New Roman" w:cs="Times New Roman"/>
          <w:i/>
          <w:iCs/>
          <w14:shadow w14:blurRad="50800" w14:dist="38100" w14:dir="2700000" w14:sx="100000" w14:sy="100000" w14:kx="0" w14:ky="0" w14:algn="tl">
            <w14:srgbClr w14:val="000000">
              <w14:alpha w14:val="60000"/>
            </w14:srgbClr>
          </w14:shadow>
        </w:rPr>
      </w:pPr>
    </w:p>
    <w:p w14:paraId="05DAC12F" w14:textId="77777777" w:rsidR="007B53E3" w:rsidRPr="007C10D2" w:rsidRDefault="007B53E3">
      <w:pPr>
        <w:spacing w:line="360" w:lineRule="auto"/>
        <w:jc w:val="center"/>
        <w:rPr>
          <w:rFonts w:ascii="Times New Roman" w:hAnsi="Times New Roman" w:cs="Times New Roman"/>
          <w:i/>
          <w:iCs/>
          <w14:shadow w14:blurRad="50800" w14:dist="38100" w14:dir="2700000" w14:sx="100000" w14:sy="100000" w14:kx="0" w14:ky="0" w14:algn="tl">
            <w14:srgbClr w14:val="000000">
              <w14:alpha w14:val="60000"/>
            </w14:srgbClr>
          </w14:shadow>
        </w:rPr>
      </w:pPr>
    </w:p>
    <w:p w14:paraId="3431CCF1" w14:textId="308BDD43" w:rsidR="007B53E3" w:rsidRPr="007C10D2" w:rsidRDefault="001403B6" w:rsidP="008278F7">
      <w:pPr>
        <w:spacing w:line="360" w:lineRule="auto"/>
        <w:jc w:val="center"/>
        <w:rPr>
          <w:rFonts w:ascii="Times New Roman" w:hAnsi="Times New Roman" w:cs="Times New Roman"/>
          <w:sz w:val="28"/>
          <w:szCs w:val="32"/>
        </w:rPr>
        <w:sectPr w:rsidR="007B53E3" w:rsidRPr="007C10D2">
          <w:headerReference w:type="default" r:id="rId8"/>
          <w:footerReference w:type="even" r:id="rId9"/>
          <w:pgSz w:w="11906" w:h="16838"/>
          <w:pgMar w:top="1134" w:right="1134" w:bottom="1134" w:left="1134" w:header="284" w:footer="680" w:gutter="0"/>
          <w:cols w:space="708"/>
          <w:docGrid w:linePitch="360"/>
        </w:sectPr>
      </w:pPr>
      <w:r w:rsidRPr="007C10D2">
        <w:rPr>
          <w:rFonts w:ascii="Times New Roman" w:hAnsi="Times New Roman" w:cs="Times New Roman"/>
          <w:sz w:val="28"/>
          <w:szCs w:val="32"/>
          <w14:shadow w14:blurRad="50800" w14:dist="38100" w14:dir="2700000" w14:sx="100000" w14:sy="100000" w14:kx="0" w14:ky="0" w14:algn="tl">
            <w14:srgbClr w14:val="000000">
              <w14:alpha w14:val="60000"/>
            </w14:srgbClr>
          </w14:shadow>
        </w:rPr>
        <w:t xml:space="preserve">Goworowo </w:t>
      </w:r>
      <w:r w:rsidR="007B53E3" w:rsidRPr="007C10D2">
        <w:rPr>
          <w:rFonts w:ascii="Times New Roman" w:hAnsi="Times New Roman" w:cs="Times New Roman"/>
          <w:sz w:val="28"/>
          <w:szCs w:val="32"/>
          <w14:shadow w14:blurRad="50800" w14:dist="38100" w14:dir="2700000" w14:sx="100000" w14:sy="100000" w14:kx="0" w14:ky="0" w14:algn="tl">
            <w14:srgbClr w14:val="000000">
              <w14:alpha w14:val="60000"/>
            </w14:srgbClr>
          </w14:shadow>
        </w:rPr>
        <w:t xml:space="preserve">, </w:t>
      </w:r>
      <w:r w:rsidR="008E17C8" w:rsidRPr="007C10D2">
        <w:rPr>
          <w:rFonts w:ascii="Times New Roman" w:hAnsi="Times New Roman" w:cs="Times New Roman"/>
          <w:sz w:val="28"/>
          <w:szCs w:val="32"/>
          <w14:shadow w14:blurRad="50800" w14:dist="38100" w14:dir="2700000" w14:sx="100000" w14:sy="100000" w14:kx="0" w14:ky="0" w14:algn="tl">
            <w14:srgbClr w14:val="000000">
              <w14:alpha w14:val="60000"/>
            </w14:srgbClr>
          </w14:shadow>
        </w:rPr>
        <w:t xml:space="preserve"> 202</w:t>
      </w:r>
      <w:r w:rsidR="008F69D8" w:rsidRPr="007C10D2">
        <w:rPr>
          <w:rFonts w:ascii="Times New Roman" w:hAnsi="Times New Roman" w:cs="Times New Roman"/>
          <w:sz w:val="28"/>
          <w:szCs w:val="32"/>
          <w14:shadow w14:blurRad="50800" w14:dist="38100" w14:dir="2700000" w14:sx="100000" w14:sy="100000" w14:kx="0" w14:ky="0" w14:algn="tl">
            <w14:srgbClr w14:val="000000">
              <w14:alpha w14:val="60000"/>
            </w14:srgbClr>
          </w14:shadow>
        </w:rPr>
        <w:t>5</w:t>
      </w:r>
    </w:p>
    <w:p w14:paraId="758FFB1C" w14:textId="77777777" w:rsidR="007B53E3" w:rsidRPr="007C10D2" w:rsidRDefault="007B53E3">
      <w:pPr>
        <w:spacing w:line="360" w:lineRule="auto"/>
        <w:jc w:val="center"/>
        <w:rPr>
          <w:rFonts w:ascii="Times New Roman" w:hAnsi="Times New Roman" w:cs="Times New Roman"/>
        </w:rPr>
      </w:pPr>
    </w:p>
    <w:p w14:paraId="2FA15EE7" w14:textId="77777777" w:rsidR="007B53E3" w:rsidRPr="007C10D2" w:rsidRDefault="007B53E3">
      <w:pPr>
        <w:pStyle w:val="Nagwek2"/>
        <w:numPr>
          <w:ilvl w:val="0"/>
          <w:numId w:val="0"/>
        </w:numPr>
        <w:spacing w:line="360" w:lineRule="auto"/>
        <w:jc w:val="center"/>
        <w:rPr>
          <w:rFonts w:ascii="Times New Roman" w:hAnsi="Times New Roman" w:cs="Times New Roman"/>
          <w:b/>
          <w:bCs/>
          <w:sz w:val="24"/>
        </w:rPr>
      </w:pPr>
      <w:r w:rsidRPr="007C10D2">
        <w:rPr>
          <w:rFonts w:ascii="Times New Roman" w:hAnsi="Times New Roman" w:cs="Times New Roman"/>
          <w:b/>
          <w:bCs/>
          <w:sz w:val="24"/>
        </w:rPr>
        <w:t>Spis Treści</w:t>
      </w:r>
    </w:p>
    <w:p w14:paraId="5CC295F7" w14:textId="77777777" w:rsidR="007B53E3" w:rsidRPr="007C10D2" w:rsidRDefault="007B53E3">
      <w:pPr>
        <w:spacing w:line="360" w:lineRule="auto"/>
        <w:rPr>
          <w:rFonts w:ascii="Times New Roman" w:hAnsi="Times New Roman" w:cs="Times New Roman"/>
        </w:rPr>
      </w:pPr>
    </w:p>
    <w:tbl>
      <w:tblPr>
        <w:tblW w:w="9778" w:type="dxa"/>
        <w:tblLayout w:type="fixed"/>
        <w:tblCellMar>
          <w:left w:w="70" w:type="dxa"/>
          <w:right w:w="70" w:type="dxa"/>
        </w:tblCellMar>
        <w:tblLook w:val="0000" w:firstRow="0" w:lastRow="0" w:firstColumn="0" w:lastColumn="0" w:noHBand="0" w:noVBand="0"/>
      </w:tblPr>
      <w:tblGrid>
        <w:gridCol w:w="8939"/>
        <w:gridCol w:w="839"/>
      </w:tblGrid>
      <w:tr w:rsidR="007C10D2" w:rsidRPr="007C10D2" w14:paraId="791F4B4C" w14:textId="77777777" w:rsidTr="00016732">
        <w:tc>
          <w:tcPr>
            <w:tcW w:w="8939" w:type="dxa"/>
          </w:tcPr>
          <w:p w14:paraId="2FFFFA99" w14:textId="77777777" w:rsidR="007B53E3" w:rsidRPr="007C10D2" w:rsidRDefault="007B53E3">
            <w:pPr>
              <w:spacing w:line="360" w:lineRule="auto"/>
              <w:rPr>
                <w:rFonts w:ascii="Times New Roman" w:hAnsi="Times New Roman" w:cs="Times New Roman"/>
              </w:rPr>
            </w:pPr>
          </w:p>
        </w:tc>
        <w:tc>
          <w:tcPr>
            <w:tcW w:w="839" w:type="dxa"/>
          </w:tcPr>
          <w:p w14:paraId="0A3D9F92" w14:textId="77777777" w:rsidR="007B53E3" w:rsidRPr="007C10D2" w:rsidRDefault="007B53E3">
            <w:pPr>
              <w:spacing w:line="360" w:lineRule="auto"/>
              <w:rPr>
                <w:rFonts w:ascii="Times New Roman" w:hAnsi="Times New Roman" w:cs="Times New Roman"/>
                <w:sz w:val="20"/>
                <w:szCs w:val="20"/>
              </w:rPr>
            </w:pPr>
            <w:r w:rsidRPr="007C10D2">
              <w:rPr>
                <w:rFonts w:ascii="Times New Roman" w:hAnsi="Times New Roman" w:cs="Times New Roman"/>
                <w:sz w:val="20"/>
                <w:szCs w:val="20"/>
              </w:rPr>
              <w:t>Strona</w:t>
            </w:r>
          </w:p>
        </w:tc>
      </w:tr>
      <w:tr w:rsidR="007C10D2" w:rsidRPr="007C10D2" w14:paraId="6860DFFF" w14:textId="77777777" w:rsidTr="00016732">
        <w:trPr>
          <w:trHeight w:val="454"/>
        </w:trPr>
        <w:tc>
          <w:tcPr>
            <w:tcW w:w="8939" w:type="dxa"/>
            <w:vAlign w:val="bottom"/>
          </w:tcPr>
          <w:p w14:paraId="4098A9B5" w14:textId="77777777" w:rsidR="007B53E3" w:rsidRPr="007C10D2" w:rsidRDefault="007B53E3">
            <w:pPr>
              <w:numPr>
                <w:ilvl w:val="0"/>
                <w:numId w:val="4"/>
              </w:numPr>
              <w:spacing w:line="360" w:lineRule="auto"/>
              <w:rPr>
                <w:rFonts w:ascii="Times New Roman" w:hAnsi="Times New Roman" w:cs="Times New Roman"/>
              </w:rPr>
            </w:pPr>
            <w:r w:rsidRPr="007C10D2">
              <w:rPr>
                <w:rFonts w:ascii="Times New Roman" w:hAnsi="Times New Roman" w:cs="Times New Roman"/>
              </w:rPr>
              <w:t>Postanowienia ogólne ...................................................................................................</w:t>
            </w:r>
          </w:p>
        </w:tc>
        <w:tc>
          <w:tcPr>
            <w:tcW w:w="839" w:type="dxa"/>
            <w:vAlign w:val="bottom"/>
          </w:tcPr>
          <w:p w14:paraId="3BB34B69" w14:textId="77777777" w:rsidR="007B53E3" w:rsidRPr="007C10D2" w:rsidRDefault="007B53E3">
            <w:pPr>
              <w:spacing w:line="360" w:lineRule="auto"/>
              <w:rPr>
                <w:rFonts w:ascii="Times New Roman" w:hAnsi="Times New Roman" w:cs="Times New Roman"/>
                <w:sz w:val="20"/>
                <w:szCs w:val="20"/>
              </w:rPr>
            </w:pPr>
            <w:r w:rsidRPr="007C10D2">
              <w:rPr>
                <w:rFonts w:ascii="Times New Roman" w:hAnsi="Times New Roman" w:cs="Times New Roman"/>
                <w:sz w:val="20"/>
                <w:szCs w:val="20"/>
              </w:rPr>
              <w:t>3</w:t>
            </w:r>
          </w:p>
        </w:tc>
      </w:tr>
      <w:tr w:rsidR="007C10D2" w:rsidRPr="007C10D2" w14:paraId="46FC5254" w14:textId="77777777" w:rsidTr="00016732">
        <w:trPr>
          <w:trHeight w:val="454"/>
        </w:trPr>
        <w:tc>
          <w:tcPr>
            <w:tcW w:w="8939" w:type="dxa"/>
            <w:vAlign w:val="bottom"/>
          </w:tcPr>
          <w:p w14:paraId="677E2635" w14:textId="77777777" w:rsidR="007B53E3" w:rsidRPr="007C10D2" w:rsidRDefault="007B53E3">
            <w:pPr>
              <w:numPr>
                <w:ilvl w:val="0"/>
                <w:numId w:val="4"/>
              </w:numPr>
              <w:spacing w:line="360" w:lineRule="auto"/>
              <w:rPr>
                <w:rFonts w:ascii="Times New Roman" w:hAnsi="Times New Roman" w:cs="Times New Roman"/>
              </w:rPr>
            </w:pPr>
            <w:r w:rsidRPr="007C10D2">
              <w:rPr>
                <w:rFonts w:ascii="Times New Roman" w:hAnsi="Times New Roman" w:cs="Times New Roman"/>
              </w:rPr>
              <w:t>Podstawowe definicje  ……………...............................................................................</w:t>
            </w:r>
          </w:p>
        </w:tc>
        <w:tc>
          <w:tcPr>
            <w:tcW w:w="839" w:type="dxa"/>
            <w:vAlign w:val="bottom"/>
          </w:tcPr>
          <w:p w14:paraId="6D8CA0A9" w14:textId="77777777" w:rsidR="007B53E3" w:rsidRPr="007C10D2" w:rsidRDefault="007B53E3">
            <w:pPr>
              <w:spacing w:line="360" w:lineRule="auto"/>
              <w:rPr>
                <w:rFonts w:ascii="Times New Roman" w:hAnsi="Times New Roman" w:cs="Times New Roman"/>
                <w:sz w:val="20"/>
                <w:szCs w:val="20"/>
              </w:rPr>
            </w:pPr>
            <w:r w:rsidRPr="007C10D2">
              <w:rPr>
                <w:rFonts w:ascii="Times New Roman" w:hAnsi="Times New Roman" w:cs="Times New Roman"/>
                <w:sz w:val="20"/>
                <w:szCs w:val="20"/>
              </w:rPr>
              <w:t>4</w:t>
            </w:r>
          </w:p>
        </w:tc>
      </w:tr>
      <w:tr w:rsidR="007C10D2" w:rsidRPr="007C10D2" w14:paraId="1C715574" w14:textId="77777777" w:rsidTr="00016732">
        <w:trPr>
          <w:trHeight w:val="454"/>
        </w:trPr>
        <w:tc>
          <w:tcPr>
            <w:tcW w:w="8939" w:type="dxa"/>
            <w:vAlign w:val="bottom"/>
          </w:tcPr>
          <w:p w14:paraId="58EF3FC0" w14:textId="77777777" w:rsidR="007B53E3" w:rsidRPr="007C10D2" w:rsidRDefault="007B53E3" w:rsidP="0078137C">
            <w:pPr>
              <w:numPr>
                <w:ilvl w:val="0"/>
                <w:numId w:val="4"/>
              </w:numPr>
              <w:spacing w:line="360" w:lineRule="auto"/>
              <w:rPr>
                <w:rFonts w:ascii="Times New Roman" w:hAnsi="Times New Roman" w:cs="Times New Roman"/>
              </w:rPr>
            </w:pPr>
            <w:r w:rsidRPr="007C10D2">
              <w:rPr>
                <w:rFonts w:ascii="Times New Roman" w:hAnsi="Times New Roman" w:cs="Times New Roman"/>
              </w:rPr>
              <w:t>Zasady ujawniania informacji …</w:t>
            </w:r>
            <w:r w:rsidR="0078137C" w:rsidRPr="007C10D2">
              <w:rPr>
                <w:rFonts w:ascii="Times New Roman" w:hAnsi="Times New Roman" w:cs="Times New Roman"/>
              </w:rPr>
              <w:t>…………………………………………..</w:t>
            </w:r>
            <w:r w:rsidRPr="007C10D2">
              <w:rPr>
                <w:rFonts w:ascii="Times New Roman" w:hAnsi="Times New Roman" w:cs="Times New Roman"/>
              </w:rPr>
              <w:t>……........</w:t>
            </w:r>
          </w:p>
        </w:tc>
        <w:tc>
          <w:tcPr>
            <w:tcW w:w="839" w:type="dxa"/>
            <w:vAlign w:val="bottom"/>
          </w:tcPr>
          <w:p w14:paraId="6D6D7D6B" w14:textId="16662EBD" w:rsidR="007B53E3" w:rsidRPr="007C10D2" w:rsidRDefault="007313FF">
            <w:pPr>
              <w:spacing w:line="360" w:lineRule="auto"/>
              <w:rPr>
                <w:rFonts w:ascii="Times New Roman" w:hAnsi="Times New Roman" w:cs="Times New Roman"/>
                <w:sz w:val="20"/>
                <w:szCs w:val="20"/>
              </w:rPr>
            </w:pPr>
            <w:r w:rsidRPr="007C10D2">
              <w:rPr>
                <w:rFonts w:ascii="Times New Roman" w:hAnsi="Times New Roman" w:cs="Times New Roman"/>
                <w:sz w:val="20"/>
                <w:szCs w:val="20"/>
              </w:rPr>
              <w:t>5</w:t>
            </w:r>
          </w:p>
        </w:tc>
      </w:tr>
      <w:tr w:rsidR="007C10D2" w:rsidRPr="007C10D2" w14:paraId="71930A67" w14:textId="77777777" w:rsidTr="00016732">
        <w:trPr>
          <w:trHeight w:val="454"/>
        </w:trPr>
        <w:tc>
          <w:tcPr>
            <w:tcW w:w="8939" w:type="dxa"/>
            <w:vAlign w:val="bottom"/>
          </w:tcPr>
          <w:p w14:paraId="42E8060D" w14:textId="77777777" w:rsidR="007B53E3" w:rsidRPr="007C10D2" w:rsidRDefault="007B53E3">
            <w:pPr>
              <w:numPr>
                <w:ilvl w:val="0"/>
                <w:numId w:val="4"/>
              </w:numPr>
              <w:spacing w:line="360" w:lineRule="auto"/>
              <w:rPr>
                <w:rFonts w:ascii="Times New Roman" w:hAnsi="Times New Roman" w:cs="Times New Roman"/>
              </w:rPr>
            </w:pPr>
            <w:r w:rsidRPr="007C10D2">
              <w:rPr>
                <w:rFonts w:ascii="Times New Roman" w:hAnsi="Times New Roman" w:cs="Times New Roman"/>
              </w:rPr>
              <w:t xml:space="preserve">Zakres zadań i odpowiedzialności w procesie ujawniania informacji ……………… </w:t>
            </w:r>
          </w:p>
        </w:tc>
        <w:tc>
          <w:tcPr>
            <w:tcW w:w="839" w:type="dxa"/>
            <w:vAlign w:val="bottom"/>
          </w:tcPr>
          <w:p w14:paraId="5A3D026E" w14:textId="77777777" w:rsidR="007B53E3" w:rsidRPr="007C10D2" w:rsidRDefault="007B53E3">
            <w:pPr>
              <w:spacing w:line="360" w:lineRule="auto"/>
              <w:rPr>
                <w:rFonts w:ascii="Times New Roman" w:hAnsi="Times New Roman" w:cs="Times New Roman"/>
                <w:sz w:val="20"/>
                <w:szCs w:val="20"/>
              </w:rPr>
            </w:pPr>
            <w:r w:rsidRPr="007C10D2">
              <w:rPr>
                <w:rFonts w:ascii="Times New Roman" w:hAnsi="Times New Roman" w:cs="Times New Roman"/>
                <w:sz w:val="20"/>
                <w:szCs w:val="20"/>
              </w:rPr>
              <w:t>7</w:t>
            </w:r>
          </w:p>
        </w:tc>
      </w:tr>
      <w:tr w:rsidR="007C10D2" w:rsidRPr="007C10D2" w14:paraId="40F2C6E2" w14:textId="77777777" w:rsidTr="00016732">
        <w:trPr>
          <w:trHeight w:val="454"/>
        </w:trPr>
        <w:tc>
          <w:tcPr>
            <w:tcW w:w="8939" w:type="dxa"/>
            <w:vAlign w:val="bottom"/>
          </w:tcPr>
          <w:p w14:paraId="1C2FF147" w14:textId="77777777" w:rsidR="007B53E3" w:rsidRPr="007C10D2" w:rsidRDefault="007B53E3">
            <w:pPr>
              <w:numPr>
                <w:ilvl w:val="0"/>
                <w:numId w:val="4"/>
              </w:numPr>
              <w:spacing w:line="360" w:lineRule="auto"/>
              <w:rPr>
                <w:rFonts w:ascii="Times New Roman" w:hAnsi="Times New Roman" w:cs="Times New Roman"/>
              </w:rPr>
            </w:pPr>
            <w:r w:rsidRPr="007C10D2">
              <w:rPr>
                <w:rFonts w:ascii="Times New Roman" w:hAnsi="Times New Roman" w:cs="Times New Roman"/>
              </w:rPr>
              <w:t>Postanowienia końcowe ..............................................................................................</w:t>
            </w:r>
          </w:p>
        </w:tc>
        <w:tc>
          <w:tcPr>
            <w:tcW w:w="839" w:type="dxa"/>
            <w:vAlign w:val="bottom"/>
          </w:tcPr>
          <w:p w14:paraId="7647F0EE" w14:textId="4D3CF15E" w:rsidR="007B53E3" w:rsidRPr="007C10D2" w:rsidRDefault="007313FF">
            <w:pPr>
              <w:spacing w:line="360" w:lineRule="auto"/>
              <w:rPr>
                <w:rFonts w:ascii="Times New Roman" w:hAnsi="Times New Roman" w:cs="Times New Roman"/>
                <w:sz w:val="20"/>
                <w:szCs w:val="20"/>
              </w:rPr>
            </w:pPr>
            <w:r w:rsidRPr="007C10D2">
              <w:rPr>
                <w:rFonts w:ascii="Times New Roman" w:hAnsi="Times New Roman" w:cs="Times New Roman"/>
                <w:sz w:val="20"/>
                <w:szCs w:val="20"/>
              </w:rPr>
              <w:t>7</w:t>
            </w:r>
          </w:p>
        </w:tc>
      </w:tr>
      <w:tr w:rsidR="007C10D2" w:rsidRPr="007C10D2" w14:paraId="7D7D1474" w14:textId="77777777" w:rsidTr="00016732">
        <w:trPr>
          <w:trHeight w:val="454"/>
        </w:trPr>
        <w:tc>
          <w:tcPr>
            <w:tcW w:w="8939" w:type="dxa"/>
            <w:vAlign w:val="bottom"/>
          </w:tcPr>
          <w:p w14:paraId="3CC49FA6" w14:textId="77777777" w:rsidR="007B53E3" w:rsidRPr="007C10D2" w:rsidRDefault="007B53E3">
            <w:pPr>
              <w:pStyle w:val="Nagwek"/>
              <w:tabs>
                <w:tab w:val="clear" w:pos="4536"/>
                <w:tab w:val="clear" w:pos="9072"/>
              </w:tabs>
              <w:spacing w:line="360" w:lineRule="auto"/>
              <w:rPr>
                <w:rFonts w:ascii="Times New Roman" w:hAnsi="Times New Roman" w:cs="Times New Roman"/>
              </w:rPr>
            </w:pPr>
          </w:p>
          <w:p w14:paraId="5E2D6B16" w14:textId="77777777" w:rsidR="007B53E3" w:rsidRPr="007C10D2" w:rsidRDefault="007B53E3">
            <w:pPr>
              <w:pStyle w:val="Nagwek"/>
              <w:tabs>
                <w:tab w:val="clear" w:pos="4536"/>
                <w:tab w:val="clear" w:pos="9072"/>
              </w:tabs>
              <w:spacing w:line="360" w:lineRule="auto"/>
              <w:rPr>
                <w:rFonts w:ascii="Times New Roman" w:hAnsi="Times New Roman" w:cs="Times New Roman"/>
              </w:rPr>
            </w:pPr>
          </w:p>
        </w:tc>
        <w:tc>
          <w:tcPr>
            <w:tcW w:w="839" w:type="dxa"/>
            <w:vAlign w:val="bottom"/>
          </w:tcPr>
          <w:p w14:paraId="0F720549" w14:textId="77777777" w:rsidR="007B53E3" w:rsidRPr="007C10D2" w:rsidRDefault="007B53E3">
            <w:pPr>
              <w:spacing w:line="360" w:lineRule="auto"/>
              <w:rPr>
                <w:rFonts w:ascii="Times New Roman" w:hAnsi="Times New Roman" w:cs="Times New Roman"/>
                <w:sz w:val="20"/>
                <w:szCs w:val="20"/>
              </w:rPr>
            </w:pPr>
          </w:p>
          <w:p w14:paraId="24417047" w14:textId="77777777" w:rsidR="007B53E3" w:rsidRPr="007C10D2" w:rsidRDefault="007B53E3">
            <w:pPr>
              <w:spacing w:line="360" w:lineRule="auto"/>
              <w:rPr>
                <w:rFonts w:ascii="Times New Roman" w:hAnsi="Times New Roman" w:cs="Times New Roman"/>
                <w:sz w:val="20"/>
                <w:szCs w:val="20"/>
              </w:rPr>
            </w:pPr>
          </w:p>
        </w:tc>
      </w:tr>
    </w:tbl>
    <w:p w14:paraId="42869CFA" w14:textId="77777777" w:rsidR="007B53E3" w:rsidRPr="007C10D2" w:rsidRDefault="007B53E3">
      <w:pPr>
        <w:spacing w:line="360" w:lineRule="auto"/>
        <w:rPr>
          <w:rFonts w:ascii="Times New Roman" w:hAnsi="Times New Roman" w:cs="Times New Roman"/>
        </w:rPr>
      </w:pPr>
      <w:r w:rsidRPr="007C10D2">
        <w:rPr>
          <w:rFonts w:ascii="Times New Roman" w:hAnsi="Times New Roman" w:cs="Times New Roman"/>
        </w:rPr>
        <w:t xml:space="preserve">Załącznik </w:t>
      </w:r>
      <w:r w:rsidR="000809C9" w:rsidRPr="007C10D2">
        <w:rPr>
          <w:rFonts w:ascii="Times New Roman" w:hAnsi="Times New Roman" w:cs="Times New Roman"/>
        </w:rPr>
        <w:t>1</w:t>
      </w:r>
      <w:r w:rsidRPr="007C10D2">
        <w:rPr>
          <w:rFonts w:ascii="Times New Roman" w:hAnsi="Times New Roman" w:cs="Times New Roman"/>
        </w:rPr>
        <w:t>: Zestawienie zakresu informacji podlegających ujawnieniom wraz z przypisaniem komórek odpowiedzialnych za ich przygotowanie</w:t>
      </w:r>
      <w:r w:rsidR="008E52B9" w:rsidRPr="007C10D2">
        <w:rPr>
          <w:rFonts w:ascii="Times New Roman" w:hAnsi="Times New Roman" w:cs="Times New Roman"/>
        </w:rPr>
        <w:t>.</w:t>
      </w:r>
    </w:p>
    <w:p w14:paraId="731F5BD2" w14:textId="77777777" w:rsidR="005A7812" w:rsidRPr="007C10D2" w:rsidRDefault="005A7812">
      <w:pPr>
        <w:spacing w:line="360" w:lineRule="auto"/>
        <w:rPr>
          <w:rFonts w:ascii="Times New Roman" w:hAnsi="Times New Roman" w:cs="Times New Roman"/>
        </w:rPr>
      </w:pPr>
    </w:p>
    <w:p w14:paraId="15127E21" w14:textId="77777777" w:rsidR="005A7812" w:rsidRPr="007C10D2" w:rsidRDefault="005A7812">
      <w:pPr>
        <w:spacing w:line="360" w:lineRule="auto"/>
        <w:rPr>
          <w:rFonts w:ascii="Times New Roman" w:hAnsi="Times New Roman" w:cs="Times New Roman"/>
        </w:rPr>
      </w:pPr>
    </w:p>
    <w:p w14:paraId="017D6EC4" w14:textId="77777777" w:rsidR="00EF0E4F" w:rsidRPr="007C10D2" w:rsidRDefault="00EF0E4F">
      <w:pPr>
        <w:spacing w:line="360" w:lineRule="auto"/>
        <w:rPr>
          <w:rFonts w:ascii="Times New Roman" w:hAnsi="Times New Roman" w:cs="Times New Roman"/>
        </w:rPr>
      </w:pPr>
    </w:p>
    <w:p w14:paraId="440F0036" w14:textId="77777777" w:rsidR="00EF0E4F" w:rsidRPr="007C10D2" w:rsidRDefault="00EF0E4F">
      <w:pPr>
        <w:spacing w:line="360" w:lineRule="auto"/>
        <w:rPr>
          <w:rFonts w:ascii="Times New Roman" w:hAnsi="Times New Roman" w:cs="Times New Roman"/>
        </w:rPr>
        <w:sectPr w:rsidR="00EF0E4F" w:rsidRPr="007C10D2">
          <w:headerReference w:type="default" r:id="rId10"/>
          <w:footerReference w:type="default" r:id="rId11"/>
          <w:pgSz w:w="11906" w:h="16838"/>
          <w:pgMar w:top="1134" w:right="1134" w:bottom="1134" w:left="1134" w:header="284" w:footer="680" w:gutter="0"/>
          <w:cols w:space="708"/>
          <w:docGrid w:linePitch="360"/>
        </w:sectPr>
      </w:pPr>
    </w:p>
    <w:p w14:paraId="0E87FB80" w14:textId="77777777" w:rsidR="007B53E3" w:rsidRPr="007C10D2" w:rsidRDefault="007B53E3">
      <w:pPr>
        <w:pStyle w:val="Nagwek2"/>
        <w:numPr>
          <w:ilvl w:val="0"/>
          <w:numId w:val="0"/>
        </w:numPr>
        <w:spacing w:line="360" w:lineRule="auto"/>
        <w:jc w:val="center"/>
        <w:rPr>
          <w:rFonts w:ascii="Times New Roman" w:hAnsi="Times New Roman" w:cs="Times New Roman"/>
          <w:b/>
          <w:bCs/>
          <w:sz w:val="24"/>
        </w:rPr>
      </w:pPr>
      <w:r w:rsidRPr="007C10D2">
        <w:rPr>
          <w:rFonts w:ascii="Times New Roman" w:hAnsi="Times New Roman" w:cs="Times New Roman"/>
          <w:b/>
          <w:bCs/>
          <w:sz w:val="24"/>
        </w:rPr>
        <w:lastRenderedPageBreak/>
        <w:t>1. Postanowienia ogólne</w:t>
      </w:r>
    </w:p>
    <w:p w14:paraId="11C82150" w14:textId="77777777" w:rsidR="007B53E3" w:rsidRPr="007C10D2" w:rsidRDefault="007B53E3">
      <w:pPr>
        <w:spacing w:line="360" w:lineRule="auto"/>
        <w:jc w:val="both"/>
        <w:rPr>
          <w:rFonts w:ascii="Times New Roman" w:hAnsi="Times New Roman" w:cs="Times New Roman"/>
        </w:rPr>
      </w:pPr>
    </w:p>
    <w:p w14:paraId="45B2BC4D" w14:textId="77777777" w:rsidR="007B53E3" w:rsidRPr="007C10D2" w:rsidRDefault="007B53E3">
      <w:pPr>
        <w:spacing w:line="360" w:lineRule="auto"/>
        <w:jc w:val="center"/>
        <w:rPr>
          <w:rFonts w:ascii="Times New Roman" w:hAnsi="Times New Roman" w:cs="Times New Roman"/>
        </w:rPr>
      </w:pPr>
      <w:r w:rsidRPr="007C10D2">
        <w:rPr>
          <w:rFonts w:ascii="Times New Roman" w:hAnsi="Times New Roman" w:cs="Times New Roman"/>
        </w:rPr>
        <w:t>§ 1</w:t>
      </w:r>
    </w:p>
    <w:p w14:paraId="74EE9F53" w14:textId="360B8AE6" w:rsidR="007B53E3" w:rsidRPr="007C10D2" w:rsidRDefault="007B53E3">
      <w:pPr>
        <w:pStyle w:val="Tekstpodstawowy"/>
        <w:numPr>
          <w:ilvl w:val="0"/>
          <w:numId w:val="6"/>
        </w:numPr>
        <w:rPr>
          <w:rFonts w:ascii="Times New Roman" w:hAnsi="Times New Roman" w:cs="Times New Roman"/>
        </w:rPr>
      </w:pPr>
      <w:r w:rsidRPr="007C10D2">
        <w:rPr>
          <w:rFonts w:ascii="Times New Roman" w:hAnsi="Times New Roman" w:cs="Times New Roman"/>
        </w:rPr>
        <w:t>Zarząd</w:t>
      </w:r>
      <w:r w:rsidR="002D21F6" w:rsidRPr="007C10D2">
        <w:rPr>
          <w:rFonts w:ascii="Times New Roman" w:hAnsi="Times New Roman" w:cs="Times New Roman"/>
        </w:rPr>
        <w:t xml:space="preserve"> i Rada Nadzorcza</w:t>
      </w:r>
      <w:r w:rsidRPr="007C10D2">
        <w:rPr>
          <w:rFonts w:ascii="Times New Roman" w:hAnsi="Times New Roman" w:cs="Times New Roman"/>
        </w:rPr>
        <w:t xml:space="preserve"> Banku Spółdzielczego w </w:t>
      </w:r>
      <w:r w:rsidR="001403B6" w:rsidRPr="007C10D2">
        <w:rPr>
          <w:rFonts w:ascii="Times New Roman" w:hAnsi="Times New Roman" w:cs="Times New Roman"/>
        </w:rPr>
        <w:t>Goworowie</w:t>
      </w:r>
      <w:r w:rsidRPr="007C10D2">
        <w:rPr>
          <w:rFonts w:ascii="Times New Roman" w:hAnsi="Times New Roman" w:cs="Times New Roman"/>
        </w:rPr>
        <w:t xml:space="preserve">, zwanego dalej Bankiem </w:t>
      </w:r>
      <w:r w:rsidR="00C253D6" w:rsidRPr="007C10D2">
        <w:rPr>
          <w:rFonts w:ascii="Times New Roman" w:hAnsi="Times New Roman" w:cs="Times New Roman"/>
        </w:rPr>
        <w:t>zatwierdza i weryfikuje</w:t>
      </w:r>
      <w:r w:rsidRPr="007C10D2">
        <w:rPr>
          <w:rFonts w:ascii="Times New Roman" w:hAnsi="Times New Roman" w:cs="Times New Roman"/>
        </w:rPr>
        <w:t xml:space="preserve"> </w:t>
      </w:r>
      <w:r w:rsidR="008113A2" w:rsidRPr="007C10D2">
        <w:rPr>
          <w:rFonts w:ascii="Times New Roman" w:hAnsi="Times New Roman" w:cs="Times New Roman"/>
        </w:rPr>
        <w:t>Politykę</w:t>
      </w:r>
      <w:r w:rsidR="008E52B9" w:rsidRPr="007C10D2">
        <w:rPr>
          <w:rFonts w:ascii="Times New Roman" w:hAnsi="Times New Roman" w:cs="Times New Roman"/>
        </w:rPr>
        <w:t xml:space="preserve"> informacyjną</w:t>
      </w:r>
      <w:r w:rsidRPr="007C10D2">
        <w:rPr>
          <w:rFonts w:ascii="Times New Roman" w:hAnsi="Times New Roman" w:cs="Times New Roman"/>
        </w:rPr>
        <w:t xml:space="preserve"> w Banku Spółdzielczym w </w:t>
      </w:r>
      <w:r w:rsidR="001403B6" w:rsidRPr="007C10D2">
        <w:rPr>
          <w:rFonts w:ascii="Times New Roman" w:hAnsi="Times New Roman" w:cs="Times New Roman"/>
        </w:rPr>
        <w:t>Goworowie</w:t>
      </w:r>
      <w:r w:rsidRPr="007C10D2">
        <w:rPr>
          <w:rFonts w:ascii="Times New Roman" w:hAnsi="Times New Roman" w:cs="Times New Roman"/>
        </w:rPr>
        <w:t>, z</w:t>
      </w:r>
      <w:r w:rsidR="008E52B9" w:rsidRPr="007C10D2">
        <w:rPr>
          <w:rFonts w:ascii="Times New Roman" w:hAnsi="Times New Roman" w:cs="Times New Roman"/>
        </w:rPr>
        <w:t xml:space="preserve">waną w dalszej części </w:t>
      </w:r>
      <w:r w:rsidR="008113A2" w:rsidRPr="007C10D2">
        <w:rPr>
          <w:rFonts w:ascii="Times New Roman" w:hAnsi="Times New Roman" w:cs="Times New Roman"/>
        </w:rPr>
        <w:t>Polityką</w:t>
      </w:r>
      <w:r w:rsidRPr="007C10D2">
        <w:rPr>
          <w:rFonts w:ascii="Times New Roman" w:hAnsi="Times New Roman" w:cs="Times New Roman"/>
        </w:rPr>
        <w:t>.</w:t>
      </w:r>
    </w:p>
    <w:p w14:paraId="01632CB1" w14:textId="77777777" w:rsidR="008C6AFF" w:rsidRPr="007C10D2" w:rsidRDefault="008E52B9">
      <w:pPr>
        <w:pStyle w:val="Tekstpodstawowy"/>
        <w:numPr>
          <w:ilvl w:val="0"/>
          <w:numId w:val="6"/>
        </w:numPr>
        <w:rPr>
          <w:rFonts w:ascii="Times New Roman" w:hAnsi="Times New Roman" w:cs="Times New Roman"/>
        </w:rPr>
      </w:pPr>
      <w:r w:rsidRPr="007C10D2">
        <w:rPr>
          <w:rFonts w:ascii="Times New Roman" w:hAnsi="Times New Roman" w:cs="Times New Roman"/>
        </w:rPr>
        <w:t xml:space="preserve">Niniejsza </w:t>
      </w:r>
      <w:r w:rsidR="008113A2" w:rsidRPr="007C10D2">
        <w:rPr>
          <w:rFonts w:ascii="Times New Roman" w:hAnsi="Times New Roman" w:cs="Times New Roman"/>
        </w:rPr>
        <w:t>Polityka</w:t>
      </w:r>
      <w:r w:rsidR="007B53E3" w:rsidRPr="007C10D2">
        <w:rPr>
          <w:rFonts w:ascii="Times New Roman" w:hAnsi="Times New Roman" w:cs="Times New Roman"/>
        </w:rPr>
        <w:t xml:space="preserve"> zawiera zakres i metody ujawniania informacji o chara</w:t>
      </w:r>
      <w:r w:rsidR="008C6AFF" w:rsidRPr="007C10D2">
        <w:rPr>
          <w:rFonts w:ascii="Times New Roman" w:hAnsi="Times New Roman" w:cs="Times New Roman"/>
        </w:rPr>
        <w:t>kterze jakościowym i ilościowym</w:t>
      </w:r>
      <w:r w:rsidR="007B53E3" w:rsidRPr="007C10D2">
        <w:rPr>
          <w:rFonts w:ascii="Times New Roman" w:hAnsi="Times New Roman" w:cs="Times New Roman"/>
        </w:rPr>
        <w:t>, zgodnie z</w:t>
      </w:r>
      <w:r w:rsidR="008C6AFF" w:rsidRPr="007C10D2">
        <w:rPr>
          <w:rFonts w:ascii="Times New Roman" w:hAnsi="Times New Roman" w:cs="Times New Roman"/>
        </w:rPr>
        <w:t>:</w:t>
      </w:r>
    </w:p>
    <w:p w14:paraId="54B62764" w14:textId="0B087179" w:rsidR="008C6AFF" w:rsidRPr="007C10D2" w:rsidRDefault="008C6AFF" w:rsidP="00B06E6D">
      <w:pPr>
        <w:pStyle w:val="Tekstpodstawowy"/>
        <w:numPr>
          <w:ilvl w:val="0"/>
          <w:numId w:val="16"/>
        </w:numPr>
        <w:rPr>
          <w:rFonts w:ascii="Times New Roman" w:hAnsi="Times New Roman" w:cs="Times New Roman"/>
        </w:rPr>
      </w:pPr>
      <w:r w:rsidRPr="007C10D2">
        <w:rPr>
          <w:rFonts w:ascii="Times New Roman" w:hAnsi="Times New Roman" w:cs="Times New Roman"/>
        </w:rPr>
        <w:t>Rozporządzeniem 575/2013 UE</w:t>
      </w:r>
      <w:r w:rsidR="00EF2212" w:rsidRPr="007C10D2">
        <w:rPr>
          <w:rFonts w:ascii="Times New Roman" w:hAnsi="Times New Roman" w:cs="Times New Roman"/>
        </w:rPr>
        <w:t xml:space="preserve"> (z późniejszymi zmianami)</w:t>
      </w:r>
      <w:r w:rsidRPr="007C10D2">
        <w:rPr>
          <w:rFonts w:ascii="Times New Roman" w:hAnsi="Times New Roman" w:cs="Times New Roman"/>
        </w:rPr>
        <w:t>,</w:t>
      </w:r>
      <w:r w:rsidR="00EC3B10" w:rsidRPr="007C10D2">
        <w:rPr>
          <w:rFonts w:ascii="Times New Roman" w:hAnsi="Times New Roman" w:cs="Times New Roman"/>
        </w:rPr>
        <w:t xml:space="preserve"> zwanym dalej Rozporządzeniem CRR,</w:t>
      </w:r>
    </w:p>
    <w:p w14:paraId="2C425194" w14:textId="57627B31" w:rsidR="008C6AFF" w:rsidRPr="007C10D2" w:rsidRDefault="008C6AFF" w:rsidP="00B06E6D">
      <w:pPr>
        <w:pStyle w:val="Tekstpodstawowy"/>
        <w:numPr>
          <w:ilvl w:val="0"/>
          <w:numId w:val="16"/>
        </w:numPr>
        <w:rPr>
          <w:rFonts w:ascii="Times New Roman" w:hAnsi="Times New Roman" w:cs="Times New Roman"/>
        </w:rPr>
      </w:pPr>
      <w:r w:rsidRPr="007C10D2">
        <w:rPr>
          <w:rFonts w:ascii="Times New Roman" w:hAnsi="Times New Roman" w:cs="Times New Roman"/>
        </w:rPr>
        <w:t>Ustaw</w:t>
      </w:r>
      <w:r w:rsidR="002B4C26" w:rsidRPr="007C10D2">
        <w:rPr>
          <w:rFonts w:ascii="Times New Roman" w:hAnsi="Times New Roman" w:cs="Times New Roman"/>
        </w:rPr>
        <w:t>ą</w:t>
      </w:r>
      <w:r w:rsidRPr="007C10D2">
        <w:rPr>
          <w:rFonts w:ascii="Times New Roman" w:hAnsi="Times New Roman" w:cs="Times New Roman"/>
        </w:rPr>
        <w:t xml:space="preserve"> </w:t>
      </w:r>
      <w:r w:rsidR="007B53E3" w:rsidRPr="007C10D2">
        <w:rPr>
          <w:rFonts w:ascii="Times New Roman" w:hAnsi="Times New Roman" w:cs="Times New Roman"/>
        </w:rPr>
        <w:t>Praw</w:t>
      </w:r>
      <w:r w:rsidRPr="007C10D2">
        <w:rPr>
          <w:rFonts w:ascii="Times New Roman" w:hAnsi="Times New Roman" w:cs="Times New Roman"/>
        </w:rPr>
        <w:t>o</w:t>
      </w:r>
      <w:r w:rsidR="007B53E3" w:rsidRPr="007C10D2">
        <w:rPr>
          <w:rFonts w:ascii="Times New Roman" w:hAnsi="Times New Roman" w:cs="Times New Roman"/>
        </w:rPr>
        <w:t xml:space="preserve"> bankowe</w:t>
      </w:r>
      <w:r w:rsidRPr="007C10D2">
        <w:rPr>
          <w:rFonts w:ascii="Times New Roman" w:hAnsi="Times New Roman" w:cs="Times New Roman"/>
        </w:rPr>
        <w:t>,</w:t>
      </w:r>
      <w:r w:rsidR="00EC3B10" w:rsidRPr="007C10D2">
        <w:rPr>
          <w:rFonts w:ascii="Times New Roman" w:hAnsi="Times New Roman" w:cs="Times New Roman"/>
        </w:rPr>
        <w:t xml:space="preserve"> ze szczególnym uwzględnieniem art. 111a</w:t>
      </w:r>
      <w:r w:rsidR="00AB0340" w:rsidRPr="007C10D2">
        <w:rPr>
          <w:rFonts w:ascii="Times New Roman" w:hAnsi="Times New Roman" w:cs="Times New Roman"/>
        </w:rPr>
        <w:t xml:space="preserve"> i 111b</w:t>
      </w:r>
      <w:r w:rsidR="00EC3B10" w:rsidRPr="007C10D2">
        <w:rPr>
          <w:rFonts w:ascii="Times New Roman" w:hAnsi="Times New Roman" w:cs="Times New Roman"/>
        </w:rPr>
        <w:t>,</w:t>
      </w:r>
    </w:p>
    <w:p w14:paraId="074065EC" w14:textId="6CC9C836" w:rsidR="008C6AFF" w:rsidRPr="007C10D2" w:rsidRDefault="00781500" w:rsidP="00B06E6D">
      <w:pPr>
        <w:pStyle w:val="Tekstpodstawowy"/>
        <w:numPr>
          <w:ilvl w:val="0"/>
          <w:numId w:val="16"/>
        </w:numPr>
        <w:rPr>
          <w:rFonts w:ascii="Times New Roman" w:hAnsi="Times New Roman" w:cs="Times New Roman"/>
        </w:rPr>
      </w:pPr>
      <w:r w:rsidRPr="007C10D2">
        <w:rPr>
          <w:rFonts w:ascii="Times New Roman" w:hAnsi="Times New Roman" w:cs="Times New Roman"/>
        </w:rPr>
        <w:t>Rozporządzeniem Ministra Finansów</w:t>
      </w:r>
      <w:r w:rsidR="00883A39" w:rsidRPr="007C10D2">
        <w:rPr>
          <w:rFonts w:ascii="Times New Roman" w:hAnsi="Times New Roman" w:cs="Times New Roman"/>
        </w:rPr>
        <w:t>, Funduszy i Polityki Regionalnej</w:t>
      </w:r>
      <w:r w:rsidR="00570F5B" w:rsidRPr="007C10D2">
        <w:rPr>
          <w:rFonts w:ascii="Times New Roman" w:hAnsi="Times New Roman" w:cs="Times New Roman"/>
        </w:rPr>
        <w:t xml:space="preserve"> z dnia 0</w:t>
      </w:r>
      <w:r w:rsidR="00AB0340" w:rsidRPr="007C10D2">
        <w:rPr>
          <w:rFonts w:ascii="Times New Roman" w:hAnsi="Times New Roman" w:cs="Times New Roman"/>
        </w:rPr>
        <w:t>8</w:t>
      </w:r>
      <w:r w:rsidR="00570F5B" w:rsidRPr="007C10D2">
        <w:rPr>
          <w:rFonts w:ascii="Times New Roman" w:hAnsi="Times New Roman" w:cs="Times New Roman"/>
        </w:rPr>
        <w:t xml:space="preserve"> </w:t>
      </w:r>
      <w:r w:rsidR="00AB0340" w:rsidRPr="007C10D2">
        <w:rPr>
          <w:rFonts w:ascii="Times New Roman" w:hAnsi="Times New Roman" w:cs="Times New Roman"/>
        </w:rPr>
        <w:t>czerwca</w:t>
      </w:r>
      <w:r w:rsidR="00570F5B" w:rsidRPr="007C10D2">
        <w:rPr>
          <w:rFonts w:ascii="Times New Roman" w:hAnsi="Times New Roman" w:cs="Times New Roman"/>
        </w:rPr>
        <w:t xml:space="preserve"> 20</w:t>
      </w:r>
      <w:r w:rsidR="00AB0340" w:rsidRPr="007C10D2">
        <w:rPr>
          <w:rFonts w:ascii="Times New Roman" w:hAnsi="Times New Roman" w:cs="Times New Roman"/>
        </w:rPr>
        <w:t>21</w:t>
      </w:r>
      <w:r w:rsidR="00570F5B" w:rsidRPr="007C10D2">
        <w:rPr>
          <w:rFonts w:ascii="Times New Roman" w:hAnsi="Times New Roman" w:cs="Times New Roman"/>
        </w:rPr>
        <w:t>r. w sprawie zarządzania ryzykiem (…),</w:t>
      </w:r>
    </w:p>
    <w:p w14:paraId="4C92C954" w14:textId="77777777" w:rsidR="008C6AFF" w:rsidRPr="007C10D2" w:rsidRDefault="008C6AFF" w:rsidP="00B06E6D">
      <w:pPr>
        <w:pStyle w:val="Tekstpodstawowy"/>
        <w:numPr>
          <w:ilvl w:val="0"/>
          <w:numId w:val="16"/>
        </w:numPr>
        <w:rPr>
          <w:rFonts w:ascii="Times New Roman" w:hAnsi="Times New Roman" w:cs="Times New Roman"/>
        </w:rPr>
      </w:pPr>
      <w:r w:rsidRPr="007C10D2">
        <w:rPr>
          <w:rFonts w:ascii="Times New Roman" w:hAnsi="Times New Roman" w:cs="Times New Roman"/>
        </w:rPr>
        <w:t>Zasadami ładu korporacyjnego KNF,</w:t>
      </w:r>
    </w:p>
    <w:p w14:paraId="36427701" w14:textId="77777777" w:rsidR="008C6AFF" w:rsidRPr="007C10D2" w:rsidRDefault="008C6AFF" w:rsidP="00B06E6D">
      <w:pPr>
        <w:pStyle w:val="Tekstpodstawowy"/>
        <w:numPr>
          <w:ilvl w:val="0"/>
          <w:numId w:val="16"/>
        </w:numPr>
        <w:rPr>
          <w:rFonts w:ascii="Times New Roman" w:hAnsi="Times New Roman" w:cs="Times New Roman"/>
        </w:rPr>
      </w:pPr>
      <w:r w:rsidRPr="007C10D2">
        <w:rPr>
          <w:rFonts w:ascii="Times New Roman" w:hAnsi="Times New Roman" w:cs="Times New Roman"/>
        </w:rPr>
        <w:t>Rekomendacj</w:t>
      </w:r>
      <w:r w:rsidR="00ED4527" w:rsidRPr="007C10D2">
        <w:rPr>
          <w:rFonts w:ascii="Times New Roman" w:hAnsi="Times New Roman" w:cs="Times New Roman"/>
        </w:rPr>
        <w:t>ą</w:t>
      </w:r>
      <w:r w:rsidRPr="007C10D2">
        <w:rPr>
          <w:rFonts w:ascii="Times New Roman" w:hAnsi="Times New Roman" w:cs="Times New Roman"/>
        </w:rPr>
        <w:t xml:space="preserve"> „M” KNF,</w:t>
      </w:r>
    </w:p>
    <w:p w14:paraId="2EDC32E3" w14:textId="77777777" w:rsidR="005B531B" w:rsidRPr="007C10D2" w:rsidRDefault="00ED4527" w:rsidP="00B06E6D">
      <w:pPr>
        <w:pStyle w:val="Tekstpodstawowy"/>
        <w:numPr>
          <w:ilvl w:val="0"/>
          <w:numId w:val="16"/>
        </w:numPr>
        <w:rPr>
          <w:rFonts w:ascii="Times New Roman" w:hAnsi="Times New Roman" w:cs="Times New Roman"/>
        </w:rPr>
      </w:pPr>
      <w:r w:rsidRPr="007C10D2">
        <w:rPr>
          <w:rFonts w:ascii="Times New Roman" w:hAnsi="Times New Roman" w:cs="Times New Roman"/>
        </w:rPr>
        <w:t>Rekomendacją</w:t>
      </w:r>
      <w:r w:rsidR="008C6AFF" w:rsidRPr="007C10D2">
        <w:rPr>
          <w:rFonts w:ascii="Times New Roman" w:hAnsi="Times New Roman" w:cs="Times New Roman"/>
        </w:rPr>
        <w:t xml:space="preserve"> „P” KNF</w:t>
      </w:r>
      <w:r w:rsidR="005B531B" w:rsidRPr="007C10D2">
        <w:rPr>
          <w:rFonts w:ascii="Times New Roman" w:hAnsi="Times New Roman" w:cs="Times New Roman"/>
        </w:rPr>
        <w:t>,</w:t>
      </w:r>
    </w:p>
    <w:p w14:paraId="5098F9EB" w14:textId="77777777" w:rsidR="00C93833" w:rsidRPr="007C10D2" w:rsidRDefault="005B531B" w:rsidP="00B06E6D">
      <w:pPr>
        <w:pStyle w:val="Tekstpodstawowy"/>
        <w:numPr>
          <w:ilvl w:val="0"/>
          <w:numId w:val="16"/>
        </w:numPr>
        <w:rPr>
          <w:rFonts w:ascii="Times New Roman" w:hAnsi="Times New Roman" w:cs="Times New Roman"/>
        </w:rPr>
      </w:pPr>
      <w:r w:rsidRPr="007C10D2">
        <w:rPr>
          <w:rFonts w:ascii="Times New Roman" w:hAnsi="Times New Roman" w:cs="Times New Roman"/>
        </w:rPr>
        <w:t>Ustawą o ochronie danych osobowych</w:t>
      </w:r>
      <w:r w:rsidR="00C93833" w:rsidRPr="007C10D2">
        <w:rPr>
          <w:rFonts w:ascii="Times New Roman" w:hAnsi="Times New Roman" w:cs="Times New Roman"/>
        </w:rPr>
        <w:t xml:space="preserve">, </w:t>
      </w:r>
    </w:p>
    <w:p w14:paraId="17B882D7" w14:textId="0C3437D4" w:rsidR="008C6AFF" w:rsidRPr="007C10D2" w:rsidRDefault="00C93833" w:rsidP="00B06E6D">
      <w:pPr>
        <w:pStyle w:val="Tekstpodstawowy"/>
        <w:numPr>
          <w:ilvl w:val="0"/>
          <w:numId w:val="16"/>
        </w:numPr>
        <w:rPr>
          <w:rFonts w:ascii="Times New Roman" w:hAnsi="Times New Roman" w:cs="Times New Roman"/>
        </w:rPr>
      </w:pPr>
      <w:r w:rsidRPr="007C10D2">
        <w:rPr>
          <w:rFonts w:ascii="Times New Roman" w:hAnsi="Times New Roman" w:cs="Times New Roman"/>
        </w:rPr>
        <w:t xml:space="preserve">Wytycznymi </w:t>
      </w:r>
      <w:r w:rsidR="00386F0B" w:rsidRPr="007C10D2">
        <w:rPr>
          <w:rFonts w:ascii="Times New Roman" w:hAnsi="Times New Roman" w:cs="Times New Roman"/>
        </w:rPr>
        <w:t>EBA/GL/2018/06 dotyczącymi zarz</w:t>
      </w:r>
      <w:r w:rsidR="002D21F6" w:rsidRPr="007C10D2">
        <w:rPr>
          <w:rFonts w:ascii="Times New Roman" w:hAnsi="Times New Roman" w:cs="Times New Roman"/>
        </w:rPr>
        <w:t>ą</w:t>
      </w:r>
      <w:r w:rsidR="00386F0B" w:rsidRPr="007C10D2">
        <w:rPr>
          <w:rFonts w:ascii="Times New Roman" w:hAnsi="Times New Roman" w:cs="Times New Roman"/>
        </w:rPr>
        <w:t>dzania ekspozycjami nieobsługiwanymi i restrukturyzowanymi</w:t>
      </w:r>
      <w:r w:rsidR="008C6AFF" w:rsidRPr="007C10D2">
        <w:rPr>
          <w:rFonts w:ascii="Times New Roman" w:hAnsi="Times New Roman" w:cs="Times New Roman"/>
        </w:rPr>
        <w:t>.</w:t>
      </w:r>
    </w:p>
    <w:p w14:paraId="3DB485B8" w14:textId="28CDD830" w:rsidR="00EF2212" w:rsidRPr="007C10D2" w:rsidRDefault="00AD20AD" w:rsidP="00AD20AD">
      <w:pPr>
        <w:pStyle w:val="Tekstpodstawowy"/>
        <w:numPr>
          <w:ilvl w:val="0"/>
          <w:numId w:val="16"/>
        </w:numPr>
        <w:rPr>
          <w:rFonts w:ascii="Times New Roman" w:hAnsi="Times New Roman" w:cs="Times New Roman"/>
        </w:rPr>
      </w:pPr>
      <w:r w:rsidRPr="007C10D2">
        <w:rPr>
          <w:rFonts w:ascii="Times New Roman" w:hAnsi="Times New Roman" w:cs="Times New Roman"/>
        </w:rPr>
        <w:t>Uchwałą nr 289/2020 Komisji Nadzoru Finansowego z dnia 9 października 2020 r. w sprawie wydania Rekomendacji Z dotyczącej zasad ładu wewnętrznego w bankach</w:t>
      </w:r>
      <w:r w:rsidR="008E17C8" w:rsidRPr="007C10D2">
        <w:rPr>
          <w:rFonts w:ascii="Times New Roman" w:hAnsi="Times New Roman" w:cs="Times New Roman"/>
        </w:rPr>
        <w:t>,</w:t>
      </w:r>
    </w:p>
    <w:p w14:paraId="6F66D9AC" w14:textId="77777777" w:rsidR="00724F3E" w:rsidRPr="007C10D2" w:rsidRDefault="00724F3E" w:rsidP="00AD20AD">
      <w:pPr>
        <w:pStyle w:val="Tekstpodstawowy"/>
        <w:numPr>
          <w:ilvl w:val="0"/>
          <w:numId w:val="16"/>
        </w:numPr>
        <w:rPr>
          <w:rFonts w:ascii="Times New Roman" w:hAnsi="Times New Roman" w:cs="Times New Roman"/>
        </w:rPr>
      </w:pPr>
      <w:r w:rsidRPr="007C10D2">
        <w:rPr>
          <w:rFonts w:ascii="Times New Roman" w:hAnsi="Times New Roman" w:cs="Times New Roman"/>
        </w:rPr>
        <w:t>Ustawą z dnia 10 czerwca 2016 r. o Bankowym Funduszu Gwarancyjnym, systemie gwarantowania depozytów oraz przymusowej restrukturyzacji (</w:t>
      </w:r>
      <w:proofErr w:type="spellStart"/>
      <w:r w:rsidRPr="007C10D2">
        <w:rPr>
          <w:rFonts w:ascii="Times New Roman" w:hAnsi="Times New Roman" w:cs="Times New Roman"/>
        </w:rPr>
        <w:t>t.j</w:t>
      </w:r>
      <w:proofErr w:type="spellEnd"/>
      <w:r w:rsidRPr="007C10D2">
        <w:rPr>
          <w:rFonts w:ascii="Times New Roman" w:hAnsi="Times New Roman" w:cs="Times New Roman"/>
        </w:rPr>
        <w:t xml:space="preserve">. Dz. U. z 2024 poz. 487 z </w:t>
      </w:r>
      <w:proofErr w:type="spellStart"/>
      <w:r w:rsidRPr="007C10D2">
        <w:rPr>
          <w:rFonts w:ascii="Times New Roman" w:hAnsi="Times New Roman" w:cs="Times New Roman"/>
        </w:rPr>
        <w:t>późn</w:t>
      </w:r>
      <w:proofErr w:type="spellEnd"/>
      <w:r w:rsidRPr="007C10D2">
        <w:rPr>
          <w:rFonts w:ascii="Times New Roman" w:hAnsi="Times New Roman" w:cs="Times New Roman"/>
        </w:rPr>
        <w:t>. zm. – zwanej dalej ustawą o BFG),</w:t>
      </w:r>
    </w:p>
    <w:p w14:paraId="43B3ECBB" w14:textId="26A457CE" w:rsidR="008E17C8" w:rsidRPr="00B76CB6" w:rsidRDefault="00496919" w:rsidP="00AD20AD">
      <w:pPr>
        <w:pStyle w:val="Tekstpodstawowy"/>
        <w:numPr>
          <w:ilvl w:val="0"/>
          <w:numId w:val="16"/>
        </w:numPr>
        <w:rPr>
          <w:rFonts w:ascii="Times New Roman" w:hAnsi="Times New Roman" w:cs="Times New Roman"/>
        </w:rPr>
      </w:pPr>
      <w:bookmarkStart w:id="0" w:name="_Hlk168774463"/>
      <w:r w:rsidRPr="007C10D2">
        <w:rPr>
          <w:rFonts w:ascii="Times New Roman" w:hAnsi="Times New Roman" w:cs="Times New Roman"/>
        </w:rPr>
        <w:t xml:space="preserve">Rozporządzeniem wykonawczym Komisji (UE) 2022/631 z dnia 13 kwietnia 2022 r. zmieniającego wykonawcze standardy techniczne określone w rozporządzenie wykonawczym (UE) 2021/637 w odniesieniu do ujawniania informacji na temat ekspozycji na ryzyko stopy procentowej w odniesieniu do pozycji nieuwzględnionych w </w:t>
      </w:r>
      <w:r w:rsidRPr="00B76CB6">
        <w:rPr>
          <w:rFonts w:ascii="Times New Roman" w:hAnsi="Times New Roman" w:cs="Times New Roman"/>
        </w:rPr>
        <w:t>portfelu handlowym</w:t>
      </w:r>
      <w:bookmarkEnd w:id="0"/>
      <w:r w:rsidR="008E17C8" w:rsidRPr="00B76CB6">
        <w:rPr>
          <w:rFonts w:ascii="Times New Roman" w:hAnsi="Times New Roman" w:cs="Times New Roman"/>
        </w:rPr>
        <w:t>.</w:t>
      </w:r>
    </w:p>
    <w:p w14:paraId="3DB4BC1B" w14:textId="08C4F5CA" w:rsidR="008F69D8" w:rsidRPr="00B76CB6" w:rsidRDefault="008F69D8" w:rsidP="00AD20AD">
      <w:pPr>
        <w:pStyle w:val="Tekstpodstawowy"/>
        <w:numPr>
          <w:ilvl w:val="0"/>
          <w:numId w:val="16"/>
        </w:numPr>
        <w:rPr>
          <w:rFonts w:ascii="Times New Roman" w:hAnsi="Times New Roman" w:cs="Times New Roman"/>
        </w:rPr>
      </w:pPr>
      <w:r w:rsidRPr="00B76CB6">
        <w:rPr>
          <w:rFonts w:ascii="Times New Roman" w:hAnsi="Times New Roman" w:cs="Times New Roman"/>
        </w:rPr>
        <w:t>Ustawą z dnia 26 kwietnia 2024 r. o zapewnianiu spełniania wymagań dostępności niektórych produktów i usług przez podmioty gospodarcze.</w:t>
      </w:r>
    </w:p>
    <w:p w14:paraId="7EB52E30" w14:textId="4A4E78F6" w:rsidR="007B53E3" w:rsidRPr="007C10D2" w:rsidRDefault="008113A2">
      <w:pPr>
        <w:pStyle w:val="Tekstpodstawowy"/>
        <w:numPr>
          <w:ilvl w:val="0"/>
          <w:numId w:val="6"/>
        </w:numPr>
        <w:rPr>
          <w:rFonts w:ascii="Times New Roman" w:hAnsi="Times New Roman" w:cs="Times New Roman"/>
        </w:rPr>
      </w:pPr>
      <w:r w:rsidRPr="00B76CB6">
        <w:rPr>
          <w:rFonts w:ascii="Times New Roman" w:hAnsi="Times New Roman" w:cs="Times New Roman"/>
        </w:rPr>
        <w:t>Polityka</w:t>
      </w:r>
      <w:r w:rsidR="007B53E3" w:rsidRPr="00B76CB6">
        <w:rPr>
          <w:rFonts w:ascii="Times New Roman" w:hAnsi="Times New Roman" w:cs="Times New Roman"/>
        </w:rPr>
        <w:t xml:space="preserve"> informacyjna Banku reguluje: zakres ogłaszanych informacji, częstotliwość, formę i miejsce ogłaszania, zasady zatwierdzania i weryfikacji ogłaszanych informacji</w:t>
      </w:r>
      <w:r w:rsidR="007B53E3" w:rsidRPr="007C10D2">
        <w:rPr>
          <w:rFonts w:ascii="Times New Roman" w:hAnsi="Times New Roman" w:cs="Times New Roman"/>
        </w:rPr>
        <w:t xml:space="preserve"> oraz zasady weryfikacji </w:t>
      </w:r>
      <w:r w:rsidR="00EF0E4F" w:rsidRPr="007C10D2">
        <w:rPr>
          <w:rFonts w:ascii="Times New Roman" w:hAnsi="Times New Roman" w:cs="Times New Roman"/>
        </w:rPr>
        <w:t xml:space="preserve">niniejszej </w:t>
      </w:r>
      <w:r w:rsidRPr="007C10D2">
        <w:rPr>
          <w:rFonts w:ascii="Times New Roman" w:hAnsi="Times New Roman" w:cs="Times New Roman"/>
        </w:rPr>
        <w:t>Polityki</w:t>
      </w:r>
      <w:r w:rsidR="00EF0E4F" w:rsidRPr="007C10D2">
        <w:rPr>
          <w:rFonts w:ascii="Times New Roman" w:hAnsi="Times New Roman" w:cs="Times New Roman"/>
        </w:rPr>
        <w:t>.</w:t>
      </w:r>
    </w:p>
    <w:p w14:paraId="3F835101" w14:textId="5FC169CC" w:rsidR="002D21F6" w:rsidRPr="007C10D2" w:rsidRDefault="002D21F6">
      <w:pPr>
        <w:pStyle w:val="Tekstpodstawowy"/>
        <w:numPr>
          <w:ilvl w:val="0"/>
          <w:numId w:val="6"/>
        </w:numPr>
        <w:rPr>
          <w:rFonts w:ascii="Times New Roman" w:hAnsi="Times New Roman" w:cs="Times New Roman"/>
        </w:rPr>
      </w:pPr>
      <w:r w:rsidRPr="007C10D2">
        <w:rPr>
          <w:rFonts w:ascii="Times New Roman" w:hAnsi="Times New Roman" w:cs="Times New Roman"/>
        </w:rPr>
        <w:t>Polityka informacyjna podlega publikacji na stronie internetowej Banku.</w:t>
      </w:r>
    </w:p>
    <w:p w14:paraId="07B9F189" w14:textId="77777777" w:rsidR="007B53E3" w:rsidRPr="007C10D2" w:rsidRDefault="007B53E3">
      <w:pPr>
        <w:spacing w:line="360" w:lineRule="auto"/>
        <w:rPr>
          <w:rFonts w:ascii="Times New Roman" w:hAnsi="Times New Roman" w:cs="Times New Roman"/>
        </w:rPr>
      </w:pPr>
    </w:p>
    <w:p w14:paraId="0373BF42" w14:textId="77777777" w:rsidR="007B53E3" w:rsidRPr="007C10D2" w:rsidRDefault="007B53E3">
      <w:pPr>
        <w:spacing w:line="360" w:lineRule="auto"/>
        <w:jc w:val="center"/>
        <w:rPr>
          <w:rFonts w:ascii="Times New Roman" w:hAnsi="Times New Roman" w:cs="Times New Roman"/>
        </w:rPr>
      </w:pPr>
      <w:r w:rsidRPr="007C10D2">
        <w:rPr>
          <w:rFonts w:ascii="Times New Roman" w:hAnsi="Times New Roman" w:cs="Times New Roman"/>
        </w:rPr>
        <w:t>§ 2</w:t>
      </w:r>
    </w:p>
    <w:p w14:paraId="0A7CFA15" w14:textId="77777777" w:rsidR="007B53E3" w:rsidRPr="007C10D2" w:rsidRDefault="00EF0E4F">
      <w:pPr>
        <w:pStyle w:val="Tekstpodstawowy"/>
        <w:rPr>
          <w:rFonts w:ascii="Times New Roman" w:hAnsi="Times New Roman" w:cs="Times New Roman"/>
        </w:rPr>
      </w:pPr>
      <w:r w:rsidRPr="007C10D2">
        <w:rPr>
          <w:rFonts w:ascii="Times New Roman" w:hAnsi="Times New Roman" w:cs="Times New Roman"/>
        </w:rPr>
        <w:t xml:space="preserve">Niniejsza </w:t>
      </w:r>
      <w:r w:rsidR="008113A2" w:rsidRPr="007C10D2">
        <w:rPr>
          <w:rFonts w:ascii="Times New Roman" w:hAnsi="Times New Roman" w:cs="Times New Roman"/>
        </w:rPr>
        <w:t>Polityka</w:t>
      </w:r>
      <w:r w:rsidR="007B53E3" w:rsidRPr="007C10D2">
        <w:rPr>
          <w:rFonts w:ascii="Times New Roman" w:hAnsi="Times New Roman" w:cs="Times New Roman"/>
        </w:rPr>
        <w:t xml:space="preserve"> określa w szczególności: </w:t>
      </w:r>
    </w:p>
    <w:p w14:paraId="7792A675" w14:textId="77777777" w:rsidR="007B53E3" w:rsidRPr="007C10D2" w:rsidRDefault="007B53E3">
      <w:pPr>
        <w:pStyle w:val="Tekstpodstawowy"/>
        <w:numPr>
          <w:ilvl w:val="0"/>
          <w:numId w:val="7"/>
        </w:numPr>
        <w:rPr>
          <w:rFonts w:ascii="Times New Roman" w:hAnsi="Times New Roman" w:cs="Times New Roman"/>
        </w:rPr>
      </w:pPr>
      <w:r w:rsidRPr="007C10D2">
        <w:rPr>
          <w:rFonts w:ascii="Times New Roman" w:hAnsi="Times New Roman" w:cs="Times New Roman"/>
        </w:rPr>
        <w:t>Wytyczne dotyczące zasad i metod ujawniania informacji o charakterze jakościowym i ilościowym.</w:t>
      </w:r>
    </w:p>
    <w:p w14:paraId="5008C47F" w14:textId="77777777" w:rsidR="007B53E3" w:rsidRPr="007C10D2" w:rsidRDefault="007B53E3">
      <w:pPr>
        <w:pStyle w:val="Tekstpodstawowy"/>
        <w:numPr>
          <w:ilvl w:val="0"/>
          <w:numId w:val="7"/>
        </w:numPr>
        <w:rPr>
          <w:rFonts w:ascii="Times New Roman" w:hAnsi="Times New Roman" w:cs="Times New Roman"/>
        </w:rPr>
      </w:pPr>
      <w:r w:rsidRPr="007C10D2">
        <w:rPr>
          <w:rFonts w:ascii="Times New Roman" w:hAnsi="Times New Roman" w:cs="Times New Roman"/>
        </w:rPr>
        <w:t>Zakres zadań i odpowiedzialności w procesie ujawniania informacji, o których mowa w ust.1.</w:t>
      </w:r>
    </w:p>
    <w:p w14:paraId="0A59BF86" w14:textId="77777777" w:rsidR="009A1E70" w:rsidRPr="007C10D2" w:rsidRDefault="009A1E70" w:rsidP="009A1E70">
      <w:pPr>
        <w:spacing w:line="360" w:lineRule="auto"/>
        <w:rPr>
          <w:rFonts w:ascii="Times New Roman" w:hAnsi="Times New Roman" w:cs="Times New Roman"/>
        </w:rPr>
      </w:pPr>
    </w:p>
    <w:p w14:paraId="407D3E8E" w14:textId="38615DD6" w:rsidR="007B53E3" w:rsidRPr="007C10D2" w:rsidRDefault="007B53E3" w:rsidP="009A1E70">
      <w:pPr>
        <w:spacing w:line="360" w:lineRule="auto"/>
        <w:jc w:val="center"/>
        <w:rPr>
          <w:rFonts w:ascii="Times New Roman" w:hAnsi="Times New Roman" w:cs="Times New Roman"/>
          <w:b/>
          <w:bCs/>
        </w:rPr>
      </w:pPr>
      <w:r w:rsidRPr="007C10D2">
        <w:rPr>
          <w:rFonts w:ascii="Times New Roman" w:hAnsi="Times New Roman" w:cs="Times New Roman"/>
          <w:b/>
          <w:bCs/>
        </w:rPr>
        <w:t>2. Podstawowe definicje</w:t>
      </w:r>
    </w:p>
    <w:p w14:paraId="1FD5B404" w14:textId="77777777" w:rsidR="007B53E3" w:rsidRPr="007C10D2" w:rsidRDefault="007B53E3">
      <w:pPr>
        <w:spacing w:line="360" w:lineRule="auto"/>
        <w:jc w:val="center"/>
        <w:rPr>
          <w:rFonts w:ascii="Times New Roman" w:hAnsi="Times New Roman" w:cs="Times New Roman"/>
        </w:rPr>
      </w:pPr>
    </w:p>
    <w:p w14:paraId="6467BC8A" w14:textId="77777777" w:rsidR="007B53E3" w:rsidRPr="007C10D2" w:rsidRDefault="007B53E3">
      <w:pPr>
        <w:spacing w:line="360" w:lineRule="auto"/>
        <w:jc w:val="center"/>
        <w:rPr>
          <w:rFonts w:ascii="Times New Roman" w:hAnsi="Times New Roman" w:cs="Times New Roman"/>
        </w:rPr>
      </w:pPr>
      <w:r w:rsidRPr="007C10D2">
        <w:rPr>
          <w:rFonts w:ascii="Times New Roman" w:hAnsi="Times New Roman" w:cs="Times New Roman"/>
        </w:rPr>
        <w:t>§ 3</w:t>
      </w:r>
    </w:p>
    <w:p w14:paraId="7AB8F816" w14:textId="77777777" w:rsidR="007B53E3" w:rsidRPr="007C10D2" w:rsidRDefault="007B53E3">
      <w:pPr>
        <w:spacing w:line="360" w:lineRule="auto"/>
        <w:rPr>
          <w:rFonts w:ascii="Times New Roman" w:hAnsi="Times New Roman" w:cs="Times New Roman"/>
        </w:rPr>
      </w:pPr>
      <w:r w:rsidRPr="007C10D2">
        <w:rPr>
          <w:rFonts w:ascii="Times New Roman" w:hAnsi="Times New Roman" w:cs="Times New Roman"/>
        </w:rPr>
        <w:t xml:space="preserve">Ilekroć w </w:t>
      </w:r>
      <w:r w:rsidR="008113A2" w:rsidRPr="007C10D2">
        <w:rPr>
          <w:rFonts w:ascii="Times New Roman" w:hAnsi="Times New Roman" w:cs="Times New Roman"/>
        </w:rPr>
        <w:t>Polityce</w:t>
      </w:r>
      <w:r w:rsidRPr="007C10D2">
        <w:rPr>
          <w:rFonts w:ascii="Times New Roman" w:hAnsi="Times New Roman" w:cs="Times New Roman"/>
        </w:rPr>
        <w:t xml:space="preserve"> jest mowa o:</w:t>
      </w:r>
    </w:p>
    <w:p w14:paraId="25124ACC" w14:textId="01E8192F" w:rsidR="007F6334" w:rsidRPr="007C10D2" w:rsidRDefault="007F6334" w:rsidP="007F6334">
      <w:pPr>
        <w:numPr>
          <w:ilvl w:val="0"/>
          <w:numId w:val="3"/>
        </w:numPr>
        <w:spacing w:line="360" w:lineRule="auto"/>
        <w:rPr>
          <w:rFonts w:ascii="Times New Roman" w:hAnsi="Times New Roman" w:cs="Times New Roman"/>
        </w:rPr>
      </w:pPr>
      <w:r w:rsidRPr="007C10D2">
        <w:rPr>
          <w:rFonts w:ascii="Times New Roman" w:hAnsi="Times New Roman" w:cs="Times New Roman"/>
        </w:rPr>
        <w:t xml:space="preserve">Banku – mowa o Banku Spółdzielczym w </w:t>
      </w:r>
      <w:r w:rsidR="007179AB" w:rsidRPr="007C10D2">
        <w:rPr>
          <w:rFonts w:ascii="Times New Roman" w:hAnsi="Times New Roman" w:cs="Times New Roman"/>
        </w:rPr>
        <w:t>Goworowie</w:t>
      </w:r>
      <w:r w:rsidRPr="007C10D2">
        <w:rPr>
          <w:rFonts w:ascii="Times New Roman" w:hAnsi="Times New Roman" w:cs="Times New Roman"/>
        </w:rPr>
        <w:t>.</w:t>
      </w:r>
    </w:p>
    <w:p w14:paraId="5CAF6F47" w14:textId="792FAEAF" w:rsidR="00AB0340" w:rsidRPr="007C10D2" w:rsidRDefault="00AB0340" w:rsidP="007F6334">
      <w:pPr>
        <w:numPr>
          <w:ilvl w:val="0"/>
          <w:numId w:val="3"/>
        </w:numPr>
        <w:spacing w:line="360" w:lineRule="auto"/>
        <w:rPr>
          <w:rFonts w:ascii="Times New Roman" w:hAnsi="Times New Roman" w:cs="Times New Roman"/>
        </w:rPr>
      </w:pPr>
      <w:r w:rsidRPr="007C10D2">
        <w:rPr>
          <w:rFonts w:ascii="Times New Roman" w:hAnsi="Times New Roman" w:cs="Times New Roman"/>
        </w:rPr>
        <w:t xml:space="preserve">Zarząd – Zarząd Banku Spółdzielczego w </w:t>
      </w:r>
      <w:r w:rsidR="007179AB" w:rsidRPr="007C10D2">
        <w:rPr>
          <w:rFonts w:ascii="Times New Roman" w:hAnsi="Times New Roman" w:cs="Times New Roman"/>
        </w:rPr>
        <w:t>Goworowie</w:t>
      </w:r>
      <w:r w:rsidRPr="007C10D2">
        <w:rPr>
          <w:rFonts w:ascii="Times New Roman" w:hAnsi="Times New Roman" w:cs="Times New Roman"/>
        </w:rPr>
        <w:t>.</w:t>
      </w:r>
    </w:p>
    <w:p w14:paraId="175AA9D6" w14:textId="24B995B5" w:rsidR="00AB0340" w:rsidRPr="007C10D2" w:rsidRDefault="00AB0340" w:rsidP="007F6334">
      <w:pPr>
        <w:numPr>
          <w:ilvl w:val="0"/>
          <w:numId w:val="3"/>
        </w:numPr>
        <w:spacing w:line="360" w:lineRule="auto"/>
        <w:rPr>
          <w:rFonts w:ascii="Times New Roman" w:hAnsi="Times New Roman" w:cs="Times New Roman"/>
        </w:rPr>
      </w:pPr>
      <w:r w:rsidRPr="007C10D2">
        <w:rPr>
          <w:rFonts w:ascii="Times New Roman" w:hAnsi="Times New Roman" w:cs="Times New Roman"/>
        </w:rPr>
        <w:t xml:space="preserve">Rada Nadzorcza – Rada Nadzorcza Banku Spółdzielczego w </w:t>
      </w:r>
      <w:r w:rsidR="007179AB" w:rsidRPr="007C10D2">
        <w:rPr>
          <w:rFonts w:ascii="Times New Roman" w:hAnsi="Times New Roman" w:cs="Times New Roman"/>
        </w:rPr>
        <w:t>Goworowie</w:t>
      </w:r>
      <w:r w:rsidRPr="007C10D2">
        <w:rPr>
          <w:rFonts w:ascii="Times New Roman" w:hAnsi="Times New Roman" w:cs="Times New Roman"/>
        </w:rPr>
        <w:t>.</w:t>
      </w:r>
    </w:p>
    <w:p w14:paraId="49CC2FAD" w14:textId="2FE2AC54" w:rsidR="00EF0E4F" w:rsidRPr="007C10D2" w:rsidRDefault="007F6334" w:rsidP="007F6334">
      <w:pPr>
        <w:numPr>
          <w:ilvl w:val="0"/>
          <w:numId w:val="3"/>
        </w:numPr>
        <w:spacing w:line="360" w:lineRule="auto"/>
        <w:rPr>
          <w:rFonts w:ascii="Times New Roman" w:hAnsi="Times New Roman" w:cs="Times New Roman"/>
        </w:rPr>
      </w:pPr>
      <w:r w:rsidRPr="007C10D2">
        <w:rPr>
          <w:rFonts w:ascii="Times New Roman" w:hAnsi="Times New Roman" w:cs="Times New Roman"/>
        </w:rPr>
        <w:t>Banku Zrz</w:t>
      </w:r>
      <w:r w:rsidR="00D4795E" w:rsidRPr="007C10D2">
        <w:rPr>
          <w:rFonts w:ascii="Times New Roman" w:hAnsi="Times New Roman" w:cs="Times New Roman"/>
        </w:rPr>
        <w:t>eszającym – mowa o Banku BPS SA</w:t>
      </w:r>
      <w:r w:rsidR="00EF0E4F" w:rsidRPr="007C10D2">
        <w:rPr>
          <w:rFonts w:ascii="Times New Roman" w:hAnsi="Times New Roman" w:cs="Times New Roman"/>
        </w:rPr>
        <w:t>,</w:t>
      </w:r>
      <w:r w:rsidR="007179AB" w:rsidRPr="007C10D2">
        <w:rPr>
          <w:rFonts w:ascii="Times New Roman" w:hAnsi="Times New Roman" w:cs="Times New Roman"/>
        </w:rPr>
        <w:t xml:space="preserve"> </w:t>
      </w:r>
    </w:p>
    <w:p w14:paraId="394DE933" w14:textId="0F82B66D" w:rsidR="00BA2F02" w:rsidRPr="007C10D2" w:rsidRDefault="00EF0E4F" w:rsidP="007F6334">
      <w:pPr>
        <w:numPr>
          <w:ilvl w:val="0"/>
          <w:numId w:val="3"/>
        </w:numPr>
        <w:spacing w:line="360" w:lineRule="auto"/>
        <w:rPr>
          <w:rFonts w:ascii="Times New Roman" w:hAnsi="Times New Roman" w:cs="Times New Roman"/>
        </w:rPr>
      </w:pPr>
      <w:r w:rsidRPr="007C10D2">
        <w:rPr>
          <w:rFonts w:ascii="Times New Roman" w:hAnsi="Times New Roman" w:cs="Times New Roman"/>
        </w:rPr>
        <w:t>Spółdzielni SOI – Spółdzielni Systemu Ochrony Zrzeszenia BPS</w:t>
      </w:r>
      <w:r w:rsidR="007179AB" w:rsidRPr="007C10D2">
        <w:rPr>
          <w:rFonts w:ascii="Times New Roman" w:hAnsi="Times New Roman" w:cs="Times New Roman"/>
        </w:rPr>
        <w:t xml:space="preserve"> . </w:t>
      </w:r>
    </w:p>
    <w:p w14:paraId="3687EF43" w14:textId="247D8F10" w:rsidR="00904773" w:rsidRPr="007C10D2" w:rsidRDefault="00904773" w:rsidP="007F6334">
      <w:pPr>
        <w:numPr>
          <w:ilvl w:val="0"/>
          <w:numId w:val="3"/>
        </w:numPr>
        <w:spacing w:line="360" w:lineRule="auto"/>
        <w:rPr>
          <w:rFonts w:ascii="Times New Roman" w:hAnsi="Times New Roman" w:cs="Times New Roman"/>
        </w:rPr>
      </w:pPr>
      <w:bookmarkStart w:id="1" w:name="_Hlk81564142"/>
      <w:r w:rsidRPr="007C10D2">
        <w:rPr>
          <w:rFonts w:ascii="Times New Roman" w:hAnsi="Times New Roman" w:cs="Times New Roman"/>
        </w:rPr>
        <w:t>mała i niezłożona instytucja – oznacza Bank, który na mocy decyzji KNF został uznany za spełniający kryteria określone w art. 4 ust. 1 pkt 145 Rozporządzenia CRR2;</w:t>
      </w:r>
    </w:p>
    <w:p w14:paraId="38DF5422" w14:textId="77777777" w:rsidR="00904773" w:rsidRPr="007C10D2" w:rsidRDefault="00904773" w:rsidP="00904773">
      <w:pPr>
        <w:pStyle w:val="Tekstpodstawowy2"/>
        <w:numPr>
          <w:ilvl w:val="0"/>
          <w:numId w:val="3"/>
        </w:numPr>
        <w:jc w:val="both"/>
        <w:rPr>
          <w:rFonts w:ascii="Times New Roman" w:hAnsi="Times New Roman" w:cs="Times New Roman"/>
          <w:sz w:val="24"/>
          <w:szCs w:val="24"/>
        </w:rPr>
      </w:pPr>
      <w:r w:rsidRPr="007C10D2">
        <w:rPr>
          <w:rFonts w:ascii="Times New Roman" w:hAnsi="Times New Roman" w:cs="Times New Roman"/>
          <w:sz w:val="24"/>
          <w:szCs w:val="24"/>
        </w:rPr>
        <w:t xml:space="preserve">instytucja nienotowana – oznacza instytucję, która nie wyemitowała papierów wartościowych dopuszczonych do obrotu na rynku regulowanym któregokolwiek państwa członkowskiego Unii Europejskiej; </w:t>
      </w:r>
      <w:bookmarkEnd w:id="1"/>
    </w:p>
    <w:p w14:paraId="0446354B" w14:textId="77777777" w:rsidR="007179AB" w:rsidRPr="007C10D2" w:rsidRDefault="007B53E3" w:rsidP="008F69C0">
      <w:pPr>
        <w:numPr>
          <w:ilvl w:val="0"/>
          <w:numId w:val="3"/>
        </w:numPr>
        <w:spacing w:line="360" w:lineRule="auto"/>
        <w:rPr>
          <w:rFonts w:ascii="Times New Roman" w:hAnsi="Times New Roman" w:cs="Times New Roman"/>
        </w:rPr>
      </w:pPr>
      <w:r w:rsidRPr="007C10D2">
        <w:rPr>
          <w:rFonts w:ascii="Times New Roman" w:hAnsi="Times New Roman" w:cs="Times New Roman"/>
        </w:rPr>
        <w:t>Miejscu wykonywania czynności – należy przez to rozumieć jednostki organizacyjne Banku</w:t>
      </w:r>
      <w:r w:rsidR="00391333" w:rsidRPr="007C10D2">
        <w:rPr>
          <w:rFonts w:ascii="Times New Roman" w:hAnsi="Times New Roman" w:cs="Times New Roman"/>
        </w:rPr>
        <w:t xml:space="preserve"> oraz zamiejscowe komórki organizacyjne wchodzące w skład jednostek organizacyjnych, takie jak </w:t>
      </w:r>
      <w:r w:rsidR="002D21F6" w:rsidRPr="007C10D2">
        <w:rPr>
          <w:rFonts w:ascii="Times New Roman" w:hAnsi="Times New Roman" w:cs="Times New Roman"/>
        </w:rPr>
        <w:t>Centrala, Oddział</w:t>
      </w:r>
      <w:r w:rsidR="007179AB" w:rsidRPr="007C10D2">
        <w:rPr>
          <w:rFonts w:ascii="Times New Roman" w:hAnsi="Times New Roman" w:cs="Times New Roman"/>
        </w:rPr>
        <w:t xml:space="preserve"> . </w:t>
      </w:r>
    </w:p>
    <w:p w14:paraId="52EB076E" w14:textId="14772F67" w:rsidR="007B53E3" w:rsidRPr="007C10D2" w:rsidRDefault="007B53E3" w:rsidP="008F69C0">
      <w:pPr>
        <w:numPr>
          <w:ilvl w:val="0"/>
          <w:numId w:val="3"/>
        </w:numPr>
        <w:spacing w:line="360" w:lineRule="auto"/>
        <w:rPr>
          <w:rFonts w:ascii="Times New Roman" w:hAnsi="Times New Roman" w:cs="Times New Roman"/>
        </w:rPr>
      </w:pPr>
      <w:r w:rsidRPr="007C10D2">
        <w:rPr>
          <w:rFonts w:ascii="Times New Roman" w:hAnsi="Times New Roman" w:cs="Times New Roman"/>
        </w:rPr>
        <w:t>Jednostkach organizacyjnych – należy przez to rozumieć elementy struktury organizacyjnej, działające dla osiągnięcia celów strategicznych Banku. W Banku jednostkami organizacyjnymi są Centrala i Oddział.</w:t>
      </w:r>
    </w:p>
    <w:p w14:paraId="1D88D603" w14:textId="1671F3AC" w:rsidR="007B53E3" w:rsidRPr="007C10D2" w:rsidRDefault="007B53E3">
      <w:pPr>
        <w:numPr>
          <w:ilvl w:val="0"/>
          <w:numId w:val="3"/>
        </w:numPr>
        <w:spacing w:line="360" w:lineRule="auto"/>
        <w:rPr>
          <w:rFonts w:ascii="Times New Roman" w:hAnsi="Times New Roman" w:cs="Times New Roman"/>
        </w:rPr>
      </w:pPr>
      <w:r w:rsidRPr="007C10D2">
        <w:rPr>
          <w:rFonts w:ascii="Times New Roman" w:hAnsi="Times New Roman" w:cs="Times New Roman"/>
          <w:bCs/>
        </w:rPr>
        <w:t xml:space="preserve">Centrali - </w:t>
      </w:r>
      <w:r w:rsidRPr="007C10D2">
        <w:rPr>
          <w:rFonts w:ascii="Times New Roman" w:hAnsi="Times New Roman" w:cs="Times New Roman"/>
        </w:rPr>
        <w:t xml:space="preserve">należy przez to rozumieć jednostkę organizacyjną Banku, usytuowaną w siedzibie Banku w </w:t>
      </w:r>
      <w:r w:rsidR="007179AB" w:rsidRPr="007C10D2">
        <w:rPr>
          <w:rFonts w:ascii="Times New Roman" w:hAnsi="Times New Roman" w:cs="Times New Roman"/>
        </w:rPr>
        <w:t>Goworowie</w:t>
      </w:r>
      <w:r w:rsidRPr="007C10D2">
        <w:rPr>
          <w:rFonts w:ascii="Times New Roman" w:hAnsi="Times New Roman" w:cs="Times New Roman"/>
        </w:rPr>
        <w:t xml:space="preserve">, realizującą kluczowe dla całości Banku zadania merytoryczne i organizacyjne oraz nadzorującą ich wykonanie w stosunku do pozostałych jednostek organizacyjnych Banku. </w:t>
      </w:r>
    </w:p>
    <w:p w14:paraId="2586FCC5" w14:textId="77777777" w:rsidR="007B53E3" w:rsidRPr="007C10D2" w:rsidRDefault="007B53E3">
      <w:pPr>
        <w:numPr>
          <w:ilvl w:val="0"/>
          <w:numId w:val="3"/>
        </w:numPr>
        <w:spacing w:line="360" w:lineRule="auto"/>
        <w:rPr>
          <w:rFonts w:ascii="Times New Roman" w:hAnsi="Times New Roman" w:cs="Times New Roman"/>
        </w:rPr>
      </w:pPr>
      <w:r w:rsidRPr="007C10D2">
        <w:rPr>
          <w:rFonts w:ascii="Times New Roman" w:hAnsi="Times New Roman" w:cs="Times New Roman"/>
        </w:rPr>
        <w:t>Adekwatność kapitałowa – wymagany poziom kapitału niezbędny na pokrycie wszystkich</w:t>
      </w:r>
      <w:r w:rsidR="00EF0E4F" w:rsidRPr="007C10D2">
        <w:rPr>
          <w:rFonts w:ascii="Times New Roman" w:hAnsi="Times New Roman" w:cs="Times New Roman"/>
        </w:rPr>
        <w:t xml:space="preserve"> istotnych</w:t>
      </w:r>
      <w:r w:rsidRPr="007C10D2">
        <w:rPr>
          <w:rFonts w:ascii="Times New Roman" w:hAnsi="Times New Roman" w:cs="Times New Roman"/>
        </w:rPr>
        <w:t xml:space="preserve"> rodzajów ryzyka występujących w Banku. </w:t>
      </w:r>
    </w:p>
    <w:p w14:paraId="4D2D2BED" w14:textId="77777777" w:rsidR="00BA2F02" w:rsidRPr="007C10D2" w:rsidRDefault="00BA2F02">
      <w:pPr>
        <w:numPr>
          <w:ilvl w:val="0"/>
          <w:numId w:val="3"/>
        </w:numPr>
        <w:spacing w:line="360" w:lineRule="auto"/>
        <w:rPr>
          <w:rFonts w:ascii="Times New Roman" w:hAnsi="Times New Roman" w:cs="Times New Roman"/>
        </w:rPr>
      </w:pPr>
      <w:r w:rsidRPr="007C10D2">
        <w:rPr>
          <w:rFonts w:ascii="Times New Roman" w:hAnsi="Times New Roman" w:cs="Times New Roman"/>
        </w:rPr>
        <w:t>Strona internetowa – strona www. Banku.</w:t>
      </w:r>
    </w:p>
    <w:p w14:paraId="58FAFC43" w14:textId="77777777" w:rsidR="005B531B" w:rsidRPr="007C10D2" w:rsidRDefault="005B531B">
      <w:pPr>
        <w:numPr>
          <w:ilvl w:val="0"/>
          <w:numId w:val="3"/>
        </w:numPr>
        <w:spacing w:line="360" w:lineRule="auto"/>
        <w:rPr>
          <w:rFonts w:ascii="Times New Roman" w:hAnsi="Times New Roman" w:cs="Times New Roman"/>
        </w:rPr>
      </w:pPr>
      <w:r w:rsidRPr="007C10D2">
        <w:rPr>
          <w:rFonts w:ascii="Times New Roman" w:hAnsi="Times New Roman" w:cs="Times New Roman"/>
        </w:rPr>
        <w:lastRenderedPageBreak/>
        <w:t>IOD – Inspektor Ochrony Danych, wyznaczonych przez Zarząd na podstawie ustawy o ochronie danych osobowych.</w:t>
      </w:r>
    </w:p>
    <w:p w14:paraId="2FAC7606" w14:textId="77777777" w:rsidR="007B53E3" w:rsidRPr="007C10D2" w:rsidRDefault="007B53E3">
      <w:pPr>
        <w:spacing w:line="360" w:lineRule="auto"/>
        <w:rPr>
          <w:rFonts w:ascii="Times New Roman" w:hAnsi="Times New Roman" w:cs="Times New Roman"/>
        </w:rPr>
      </w:pPr>
    </w:p>
    <w:p w14:paraId="06389C4D" w14:textId="77777777" w:rsidR="007B53E3" w:rsidRPr="007C10D2" w:rsidRDefault="007B53E3">
      <w:pPr>
        <w:spacing w:line="360" w:lineRule="auto"/>
        <w:jc w:val="center"/>
        <w:rPr>
          <w:rFonts w:ascii="Times New Roman" w:hAnsi="Times New Roman" w:cs="Times New Roman"/>
          <w:b/>
          <w:bCs/>
        </w:rPr>
      </w:pPr>
    </w:p>
    <w:p w14:paraId="44D0DA76" w14:textId="77777777" w:rsidR="007B53E3" w:rsidRPr="007C10D2" w:rsidRDefault="007B53E3" w:rsidP="00255589">
      <w:pPr>
        <w:numPr>
          <w:ilvl w:val="0"/>
          <w:numId w:val="7"/>
        </w:numPr>
        <w:spacing w:line="360" w:lineRule="auto"/>
        <w:jc w:val="center"/>
        <w:rPr>
          <w:rFonts w:ascii="Times New Roman" w:hAnsi="Times New Roman" w:cs="Times New Roman"/>
          <w:b/>
          <w:bCs/>
        </w:rPr>
      </w:pPr>
      <w:r w:rsidRPr="007C10D2">
        <w:rPr>
          <w:rFonts w:ascii="Times New Roman" w:hAnsi="Times New Roman" w:cs="Times New Roman"/>
          <w:b/>
          <w:bCs/>
        </w:rPr>
        <w:t xml:space="preserve">Zasady ujawniania informacji </w:t>
      </w:r>
    </w:p>
    <w:p w14:paraId="1B59CC51" w14:textId="77777777" w:rsidR="00255589" w:rsidRPr="007C10D2" w:rsidRDefault="00255589" w:rsidP="00255589">
      <w:pPr>
        <w:spacing w:line="360" w:lineRule="auto"/>
        <w:ind w:left="720"/>
        <w:rPr>
          <w:rFonts w:ascii="Times New Roman" w:hAnsi="Times New Roman" w:cs="Times New Roman"/>
        </w:rPr>
      </w:pPr>
    </w:p>
    <w:p w14:paraId="5F000508" w14:textId="77777777" w:rsidR="007B53E3" w:rsidRPr="007C10D2" w:rsidRDefault="007B53E3">
      <w:pPr>
        <w:spacing w:line="360" w:lineRule="auto"/>
        <w:ind w:left="360"/>
        <w:jc w:val="center"/>
        <w:rPr>
          <w:rFonts w:ascii="Times New Roman" w:hAnsi="Times New Roman" w:cs="Times New Roman"/>
        </w:rPr>
      </w:pPr>
      <w:r w:rsidRPr="007C10D2">
        <w:rPr>
          <w:rFonts w:ascii="Times New Roman" w:hAnsi="Times New Roman" w:cs="Times New Roman"/>
        </w:rPr>
        <w:t>§ 4</w:t>
      </w:r>
    </w:p>
    <w:p w14:paraId="1ECDFA4C" w14:textId="77777777" w:rsidR="007B53E3" w:rsidRPr="007C10D2" w:rsidRDefault="007B53E3">
      <w:pPr>
        <w:spacing w:line="360" w:lineRule="auto"/>
        <w:ind w:left="360"/>
        <w:jc w:val="both"/>
        <w:rPr>
          <w:rFonts w:ascii="Times New Roman" w:hAnsi="Times New Roman" w:cs="Times New Roman"/>
        </w:rPr>
      </w:pPr>
      <w:r w:rsidRPr="007C10D2">
        <w:rPr>
          <w:rFonts w:ascii="Times New Roman" w:hAnsi="Times New Roman" w:cs="Times New Roman"/>
        </w:rPr>
        <w:t>Bank jest zobowiązany do ogłaszania, w sposób ogólnie dostępny wszystkim zainteresowanym, w miejscu wykonywania czynności, tj. we wszystkich jednostkach organizacyjnych, informacji na temat dostępu do informacji o charakterze jakościowym i ilościowym dla wszystkich obszarów działania Banku.</w:t>
      </w:r>
    </w:p>
    <w:p w14:paraId="5F07E8C9" w14:textId="77777777" w:rsidR="007B53E3" w:rsidRPr="007C10D2" w:rsidRDefault="007B53E3">
      <w:pPr>
        <w:spacing w:line="360" w:lineRule="auto"/>
        <w:ind w:left="360"/>
        <w:jc w:val="both"/>
        <w:rPr>
          <w:rFonts w:ascii="Times New Roman" w:hAnsi="Times New Roman" w:cs="Times New Roman"/>
        </w:rPr>
      </w:pPr>
    </w:p>
    <w:p w14:paraId="4D7A432E" w14:textId="77777777" w:rsidR="007B53E3" w:rsidRPr="007C10D2" w:rsidRDefault="007B53E3">
      <w:pPr>
        <w:spacing w:line="360" w:lineRule="auto"/>
        <w:ind w:left="360"/>
        <w:jc w:val="center"/>
        <w:rPr>
          <w:rFonts w:ascii="Times New Roman" w:hAnsi="Times New Roman" w:cs="Times New Roman"/>
        </w:rPr>
      </w:pPr>
      <w:r w:rsidRPr="007C10D2">
        <w:rPr>
          <w:rFonts w:ascii="Times New Roman" w:hAnsi="Times New Roman" w:cs="Times New Roman"/>
        </w:rPr>
        <w:t>§ 5</w:t>
      </w:r>
    </w:p>
    <w:p w14:paraId="66702595" w14:textId="20243460" w:rsidR="007B53E3" w:rsidRPr="007C10D2" w:rsidRDefault="007B53E3">
      <w:pPr>
        <w:spacing w:line="360" w:lineRule="auto"/>
        <w:ind w:left="360"/>
        <w:jc w:val="both"/>
        <w:rPr>
          <w:rFonts w:ascii="Times New Roman" w:hAnsi="Times New Roman" w:cs="Times New Roman"/>
        </w:rPr>
      </w:pPr>
      <w:r w:rsidRPr="007C10D2">
        <w:rPr>
          <w:rFonts w:ascii="Times New Roman" w:hAnsi="Times New Roman" w:cs="Times New Roman"/>
        </w:rPr>
        <w:t>W celu ustalenia zasad dostępu do informacji, o których mowa w §4 Zarząd</w:t>
      </w:r>
      <w:r w:rsidR="00AB0340" w:rsidRPr="007C10D2">
        <w:rPr>
          <w:rFonts w:ascii="Times New Roman" w:hAnsi="Times New Roman" w:cs="Times New Roman"/>
        </w:rPr>
        <w:t xml:space="preserve"> i Rada Nadzorcza</w:t>
      </w:r>
      <w:r w:rsidRPr="007C10D2">
        <w:rPr>
          <w:rFonts w:ascii="Times New Roman" w:hAnsi="Times New Roman" w:cs="Times New Roman"/>
        </w:rPr>
        <w:t xml:space="preserve"> Banku zatwierdza </w:t>
      </w:r>
      <w:r w:rsidR="008113A2" w:rsidRPr="007C10D2">
        <w:rPr>
          <w:rFonts w:ascii="Times New Roman" w:hAnsi="Times New Roman" w:cs="Times New Roman"/>
        </w:rPr>
        <w:t>Politykę</w:t>
      </w:r>
      <w:r w:rsidRPr="007C10D2">
        <w:rPr>
          <w:rFonts w:ascii="Times New Roman" w:hAnsi="Times New Roman" w:cs="Times New Roman"/>
        </w:rPr>
        <w:t xml:space="preserve"> informacyjną. </w:t>
      </w:r>
    </w:p>
    <w:p w14:paraId="775EB837" w14:textId="77777777" w:rsidR="007B53E3" w:rsidRPr="007C10D2" w:rsidRDefault="007B53E3">
      <w:pPr>
        <w:spacing w:line="360" w:lineRule="auto"/>
        <w:ind w:left="360"/>
        <w:jc w:val="both"/>
        <w:rPr>
          <w:rFonts w:ascii="Times New Roman" w:hAnsi="Times New Roman" w:cs="Times New Roman"/>
        </w:rPr>
      </w:pPr>
    </w:p>
    <w:p w14:paraId="07CE1630" w14:textId="77777777" w:rsidR="007B53E3" w:rsidRPr="007C10D2" w:rsidRDefault="007B53E3">
      <w:pPr>
        <w:spacing w:line="360" w:lineRule="auto"/>
        <w:ind w:left="360"/>
        <w:jc w:val="center"/>
        <w:rPr>
          <w:rFonts w:ascii="Times New Roman" w:hAnsi="Times New Roman" w:cs="Times New Roman"/>
        </w:rPr>
      </w:pPr>
      <w:r w:rsidRPr="007C10D2">
        <w:rPr>
          <w:rFonts w:ascii="Times New Roman" w:hAnsi="Times New Roman" w:cs="Times New Roman"/>
        </w:rPr>
        <w:t>§ 6</w:t>
      </w:r>
      <w:r w:rsidR="002D69F1" w:rsidRPr="007C10D2">
        <w:rPr>
          <w:rFonts w:ascii="Times New Roman" w:hAnsi="Times New Roman" w:cs="Times New Roman"/>
        </w:rPr>
        <w:t xml:space="preserve"> </w:t>
      </w:r>
    </w:p>
    <w:p w14:paraId="0835DAD3" w14:textId="77777777" w:rsidR="007B53E3" w:rsidRPr="007C10D2" w:rsidRDefault="008113A2">
      <w:pPr>
        <w:spacing w:line="360" w:lineRule="auto"/>
        <w:ind w:left="360"/>
        <w:jc w:val="both"/>
        <w:rPr>
          <w:rFonts w:ascii="Times New Roman" w:hAnsi="Times New Roman" w:cs="Times New Roman"/>
        </w:rPr>
      </w:pPr>
      <w:r w:rsidRPr="007C10D2">
        <w:rPr>
          <w:rFonts w:ascii="Times New Roman" w:hAnsi="Times New Roman" w:cs="Times New Roman"/>
        </w:rPr>
        <w:t>Polityka</w:t>
      </w:r>
      <w:r w:rsidR="007B53E3" w:rsidRPr="007C10D2">
        <w:rPr>
          <w:rFonts w:ascii="Times New Roman" w:hAnsi="Times New Roman" w:cs="Times New Roman"/>
        </w:rPr>
        <w:t xml:space="preserve"> informacyjna określa zakres, formę, miejsce i zasady dostępu do informacji, a w szczególności:</w:t>
      </w:r>
    </w:p>
    <w:p w14:paraId="15188AA6" w14:textId="77777777" w:rsidR="007B53E3" w:rsidRPr="007C10D2" w:rsidRDefault="007B53E3">
      <w:pPr>
        <w:numPr>
          <w:ilvl w:val="0"/>
          <w:numId w:val="8"/>
        </w:numPr>
        <w:spacing w:line="360" w:lineRule="auto"/>
        <w:jc w:val="both"/>
        <w:rPr>
          <w:rFonts w:ascii="Times New Roman" w:hAnsi="Times New Roman" w:cs="Times New Roman"/>
        </w:rPr>
      </w:pPr>
      <w:r w:rsidRPr="007C10D2">
        <w:rPr>
          <w:rFonts w:ascii="Times New Roman" w:hAnsi="Times New Roman" w:cs="Times New Roman"/>
        </w:rPr>
        <w:t xml:space="preserve">Zakres ogłaszanych informacji określonych </w:t>
      </w:r>
      <w:r w:rsidR="00255589" w:rsidRPr="007C10D2">
        <w:rPr>
          <w:rFonts w:ascii="Times New Roman" w:hAnsi="Times New Roman" w:cs="Times New Roman"/>
        </w:rPr>
        <w:t xml:space="preserve">na podstawie regulacji zewnętrznych wymienionych §1 niniejszej </w:t>
      </w:r>
      <w:r w:rsidR="008113A2" w:rsidRPr="007C10D2">
        <w:rPr>
          <w:rFonts w:ascii="Times New Roman" w:hAnsi="Times New Roman" w:cs="Times New Roman"/>
        </w:rPr>
        <w:t>Polityki</w:t>
      </w:r>
      <w:r w:rsidRPr="007C10D2">
        <w:rPr>
          <w:rFonts w:ascii="Times New Roman" w:hAnsi="Times New Roman" w:cs="Times New Roman"/>
        </w:rPr>
        <w:t xml:space="preserve">, </w:t>
      </w:r>
    </w:p>
    <w:p w14:paraId="698BCC68" w14:textId="16666F78" w:rsidR="007B53E3" w:rsidRPr="00B76CB6" w:rsidRDefault="007B53E3">
      <w:pPr>
        <w:numPr>
          <w:ilvl w:val="0"/>
          <w:numId w:val="8"/>
        </w:numPr>
        <w:spacing w:line="360" w:lineRule="auto"/>
        <w:jc w:val="both"/>
        <w:rPr>
          <w:rFonts w:ascii="Times New Roman" w:hAnsi="Times New Roman" w:cs="Times New Roman"/>
        </w:rPr>
      </w:pPr>
      <w:r w:rsidRPr="007C10D2">
        <w:rPr>
          <w:rFonts w:ascii="Times New Roman" w:hAnsi="Times New Roman" w:cs="Times New Roman"/>
        </w:rPr>
        <w:t xml:space="preserve">Częstotliwość – </w:t>
      </w:r>
      <w:r w:rsidR="007B73EC" w:rsidRPr="007C10D2">
        <w:rPr>
          <w:rFonts w:ascii="Times New Roman" w:hAnsi="Times New Roman" w:cs="Times New Roman"/>
        </w:rPr>
        <w:t xml:space="preserve">określona w załączniku nr 1 do niniejszej </w:t>
      </w:r>
      <w:r w:rsidR="008113A2" w:rsidRPr="007C10D2">
        <w:rPr>
          <w:rFonts w:ascii="Times New Roman" w:hAnsi="Times New Roman" w:cs="Times New Roman"/>
        </w:rPr>
        <w:t>Polityki</w:t>
      </w:r>
      <w:r w:rsidR="007B73EC" w:rsidRPr="007C10D2">
        <w:rPr>
          <w:rFonts w:ascii="Times New Roman" w:hAnsi="Times New Roman" w:cs="Times New Roman"/>
        </w:rPr>
        <w:t xml:space="preserve">, zależna od wymagań określonych w regulacjach wymienionych §1 niniejszej </w:t>
      </w:r>
      <w:r w:rsidR="008113A2" w:rsidRPr="007C10D2">
        <w:rPr>
          <w:rFonts w:ascii="Times New Roman" w:hAnsi="Times New Roman" w:cs="Times New Roman"/>
        </w:rPr>
        <w:t>Polityki</w:t>
      </w:r>
      <w:r w:rsidRPr="007C10D2">
        <w:rPr>
          <w:rFonts w:ascii="Times New Roman" w:hAnsi="Times New Roman" w:cs="Times New Roman"/>
        </w:rPr>
        <w:t>.</w:t>
      </w:r>
      <w:r w:rsidR="00EF0E4F" w:rsidRPr="007C10D2">
        <w:rPr>
          <w:rFonts w:ascii="Times New Roman" w:hAnsi="Times New Roman" w:cs="Times New Roman"/>
        </w:rPr>
        <w:t xml:space="preserve"> Bank ujawnia informacje </w:t>
      </w:r>
      <w:r w:rsidR="00EF0E4F" w:rsidRPr="00B76CB6">
        <w:rPr>
          <w:rFonts w:ascii="Times New Roman" w:hAnsi="Times New Roman" w:cs="Times New Roman"/>
        </w:rPr>
        <w:t>ilościowe co najmniej raz w roku w terminie publikacji sprawozdania finansowego</w:t>
      </w:r>
      <w:r w:rsidR="00D10551" w:rsidRPr="00B76CB6">
        <w:rPr>
          <w:rFonts w:ascii="Times New Roman" w:hAnsi="Times New Roman" w:cs="Times New Roman"/>
        </w:rPr>
        <w:t>, najpóźniej 15 dni po zatwierdzeniu sprawozdania finansowego przez ZP</w:t>
      </w:r>
      <w:r w:rsidR="00EF0E4F" w:rsidRPr="00B76CB6">
        <w:rPr>
          <w:rFonts w:ascii="Times New Roman" w:hAnsi="Times New Roman" w:cs="Times New Roman"/>
        </w:rPr>
        <w:t>, a informacje jakościowe aktualizuje na bieżąco w miarę wprowadzanych zmian.</w:t>
      </w:r>
    </w:p>
    <w:p w14:paraId="332DA446" w14:textId="294B47AB" w:rsidR="007B53E3" w:rsidRPr="00B76CB6" w:rsidRDefault="007B53E3">
      <w:pPr>
        <w:numPr>
          <w:ilvl w:val="0"/>
          <w:numId w:val="8"/>
        </w:numPr>
        <w:spacing w:line="360" w:lineRule="auto"/>
        <w:jc w:val="both"/>
        <w:rPr>
          <w:rFonts w:ascii="Times New Roman" w:hAnsi="Times New Roman" w:cs="Times New Roman"/>
        </w:rPr>
      </w:pPr>
      <w:r w:rsidRPr="00B76CB6">
        <w:rPr>
          <w:rFonts w:ascii="Times New Roman" w:hAnsi="Times New Roman" w:cs="Times New Roman"/>
        </w:rPr>
        <w:t xml:space="preserve">Formę  - w formie </w:t>
      </w:r>
      <w:r w:rsidR="007B73EC" w:rsidRPr="00B76CB6">
        <w:rPr>
          <w:rFonts w:ascii="Times New Roman" w:hAnsi="Times New Roman" w:cs="Times New Roman"/>
        </w:rPr>
        <w:t xml:space="preserve">elektronicznej, zależnie od wymagań określonych w regulacjach wymienionych §1 niniejszej </w:t>
      </w:r>
      <w:r w:rsidR="008113A2" w:rsidRPr="00B76CB6">
        <w:rPr>
          <w:rFonts w:ascii="Times New Roman" w:hAnsi="Times New Roman" w:cs="Times New Roman"/>
        </w:rPr>
        <w:t>Polityki</w:t>
      </w:r>
      <w:r w:rsidR="007B73EC" w:rsidRPr="00B76CB6">
        <w:rPr>
          <w:rFonts w:ascii="Times New Roman" w:hAnsi="Times New Roman" w:cs="Times New Roman"/>
        </w:rPr>
        <w:t xml:space="preserve"> </w:t>
      </w:r>
      <w:r w:rsidRPr="00B76CB6">
        <w:rPr>
          <w:rFonts w:ascii="Times New Roman" w:hAnsi="Times New Roman" w:cs="Times New Roman"/>
          <w:i/>
          <w:iCs/>
        </w:rPr>
        <w:t xml:space="preserve">, </w:t>
      </w:r>
      <w:r w:rsidRPr="00B76CB6">
        <w:rPr>
          <w:rFonts w:ascii="Times New Roman" w:hAnsi="Times New Roman" w:cs="Times New Roman"/>
        </w:rPr>
        <w:t xml:space="preserve">w języku polskim. </w:t>
      </w:r>
    </w:p>
    <w:p w14:paraId="23CAA5BE" w14:textId="49DC8ABD" w:rsidR="00387F68" w:rsidRPr="00B76CB6" w:rsidRDefault="00387F68" w:rsidP="005A7812">
      <w:pPr>
        <w:numPr>
          <w:ilvl w:val="0"/>
          <w:numId w:val="8"/>
        </w:numPr>
        <w:spacing w:line="360" w:lineRule="auto"/>
        <w:jc w:val="both"/>
        <w:rPr>
          <w:rFonts w:ascii="Times New Roman" w:hAnsi="Times New Roman" w:cs="Times New Roman"/>
        </w:rPr>
      </w:pPr>
      <w:r w:rsidRPr="00B76CB6">
        <w:rPr>
          <w:rFonts w:ascii="Times New Roman" w:hAnsi="Times New Roman" w:cs="Times New Roman"/>
        </w:rPr>
        <w:t xml:space="preserve">Miejsce ujawniania informacji elektronicznych: strona </w:t>
      </w:r>
      <w:r w:rsidR="0078137C" w:rsidRPr="00B76CB6">
        <w:rPr>
          <w:rFonts w:ascii="Times New Roman" w:hAnsi="Times New Roman" w:cs="Times New Roman"/>
        </w:rPr>
        <w:t>internetowa</w:t>
      </w:r>
      <w:r w:rsidRPr="00B76CB6">
        <w:rPr>
          <w:rFonts w:ascii="Times New Roman" w:hAnsi="Times New Roman" w:cs="Times New Roman"/>
        </w:rPr>
        <w:t xml:space="preserve"> Banku</w:t>
      </w:r>
      <w:r w:rsidR="002D21F6" w:rsidRPr="00B76CB6">
        <w:rPr>
          <w:rFonts w:ascii="Times New Roman" w:hAnsi="Times New Roman" w:cs="Times New Roman"/>
        </w:rPr>
        <w:t xml:space="preserve"> oraz miejsce wykonywania czynności</w:t>
      </w:r>
      <w:r w:rsidRPr="00B76CB6">
        <w:rPr>
          <w:rFonts w:ascii="Times New Roman" w:hAnsi="Times New Roman" w:cs="Times New Roman"/>
        </w:rPr>
        <w:t xml:space="preserve">. </w:t>
      </w:r>
    </w:p>
    <w:p w14:paraId="5B59717E" w14:textId="4F914440" w:rsidR="00C3771C" w:rsidRPr="00B76CB6" w:rsidRDefault="007B53E3" w:rsidP="00181005">
      <w:pPr>
        <w:numPr>
          <w:ilvl w:val="0"/>
          <w:numId w:val="8"/>
        </w:numPr>
        <w:spacing w:line="360" w:lineRule="auto"/>
        <w:jc w:val="both"/>
        <w:rPr>
          <w:rFonts w:ascii="Times New Roman" w:hAnsi="Times New Roman" w:cs="Times New Roman"/>
        </w:rPr>
      </w:pPr>
      <w:r w:rsidRPr="00B76CB6">
        <w:rPr>
          <w:rFonts w:ascii="Times New Roman" w:hAnsi="Times New Roman" w:cs="Times New Roman"/>
        </w:rPr>
        <w:t>Zasady zatwierdzania i weryfikowania informacji, podlegających ogłaszaniu, a nie ujętych w sprawozdaniu finansowym</w:t>
      </w:r>
      <w:r w:rsidR="00181005" w:rsidRPr="00B76CB6">
        <w:rPr>
          <w:rFonts w:ascii="Times New Roman" w:hAnsi="Times New Roman" w:cs="Times New Roman"/>
        </w:rPr>
        <w:t>.</w:t>
      </w:r>
    </w:p>
    <w:p w14:paraId="24F55692" w14:textId="55B65D43" w:rsidR="00D10551" w:rsidRPr="00B76CB6" w:rsidRDefault="00D10551" w:rsidP="00181005">
      <w:pPr>
        <w:numPr>
          <w:ilvl w:val="0"/>
          <w:numId w:val="8"/>
        </w:numPr>
        <w:spacing w:line="360" w:lineRule="auto"/>
        <w:jc w:val="both"/>
        <w:rPr>
          <w:rFonts w:ascii="Times New Roman" w:hAnsi="Times New Roman" w:cs="Times New Roman"/>
        </w:rPr>
      </w:pPr>
      <w:r w:rsidRPr="00B76CB6">
        <w:rPr>
          <w:rFonts w:ascii="Times New Roman" w:hAnsi="Times New Roman" w:cs="Times New Roman"/>
        </w:rPr>
        <w:t xml:space="preserve">W przypadku informacji powiązanych z korzystaniem z usług bankowości detalicznych, </w:t>
      </w:r>
      <w:r w:rsidRPr="00B76CB6">
        <w:rPr>
          <w:rFonts w:ascii="Times New Roman" w:hAnsi="Times New Roman" w:cs="Times New Roman"/>
          <w:bCs/>
        </w:rPr>
        <w:t>świadczonych konsumentom – Bank stosuje więcej niż jeden kanał sensoryczny, tj.,</w:t>
      </w:r>
      <w:r w:rsidRPr="00B76CB6">
        <w:rPr>
          <w:rFonts w:ascii="Times New Roman" w:hAnsi="Times New Roman" w:cs="Times New Roman"/>
        </w:rPr>
        <w:t xml:space="preserve"> umożliwia dostęp do tych informacji za pomocą wzroku, słuchu i dotyku.</w:t>
      </w:r>
    </w:p>
    <w:p w14:paraId="6BCACCA5" w14:textId="77777777" w:rsidR="007B53E3" w:rsidRPr="00B76CB6" w:rsidRDefault="007B53E3">
      <w:pPr>
        <w:spacing w:line="360" w:lineRule="auto"/>
        <w:ind w:left="360"/>
        <w:jc w:val="center"/>
        <w:rPr>
          <w:rFonts w:ascii="Times New Roman" w:hAnsi="Times New Roman" w:cs="Times New Roman"/>
        </w:rPr>
      </w:pPr>
    </w:p>
    <w:p w14:paraId="293B2522" w14:textId="6833AA23" w:rsidR="007B53E3" w:rsidRPr="00B76CB6" w:rsidRDefault="007B53E3">
      <w:pPr>
        <w:spacing w:line="360" w:lineRule="auto"/>
        <w:ind w:left="360"/>
        <w:jc w:val="center"/>
        <w:rPr>
          <w:rFonts w:ascii="Times New Roman" w:hAnsi="Times New Roman" w:cs="Times New Roman"/>
        </w:rPr>
      </w:pPr>
      <w:r w:rsidRPr="00B76CB6">
        <w:rPr>
          <w:rFonts w:ascii="Times New Roman" w:hAnsi="Times New Roman" w:cs="Times New Roman"/>
        </w:rPr>
        <w:t xml:space="preserve">§ </w:t>
      </w:r>
      <w:r w:rsidR="00016732" w:rsidRPr="00B76CB6">
        <w:rPr>
          <w:rFonts w:ascii="Times New Roman" w:hAnsi="Times New Roman" w:cs="Times New Roman"/>
        </w:rPr>
        <w:t>7</w:t>
      </w:r>
    </w:p>
    <w:p w14:paraId="5D0C4897" w14:textId="71510AB1" w:rsidR="007B53E3" w:rsidRPr="00B76CB6" w:rsidRDefault="007B53E3">
      <w:pPr>
        <w:numPr>
          <w:ilvl w:val="0"/>
          <w:numId w:val="10"/>
        </w:numPr>
        <w:spacing w:line="360" w:lineRule="auto"/>
        <w:jc w:val="both"/>
        <w:rPr>
          <w:rFonts w:ascii="Times New Roman" w:hAnsi="Times New Roman" w:cs="Times New Roman"/>
        </w:rPr>
      </w:pPr>
      <w:r w:rsidRPr="00B76CB6">
        <w:rPr>
          <w:rFonts w:ascii="Times New Roman" w:hAnsi="Times New Roman" w:cs="Times New Roman"/>
        </w:rPr>
        <w:t xml:space="preserve">Weryfikacja </w:t>
      </w:r>
      <w:r w:rsidR="008113A2" w:rsidRPr="00B76CB6">
        <w:rPr>
          <w:rFonts w:ascii="Times New Roman" w:hAnsi="Times New Roman" w:cs="Times New Roman"/>
        </w:rPr>
        <w:t>Polityki</w:t>
      </w:r>
      <w:r w:rsidRPr="00B76CB6">
        <w:rPr>
          <w:rFonts w:ascii="Times New Roman" w:hAnsi="Times New Roman" w:cs="Times New Roman"/>
        </w:rPr>
        <w:t xml:space="preserve"> informacyjnej odbywa się do końca </w:t>
      </w:r>
      <w:r w:rsidR="007179AB" w:rsidRPr="00B76CB6">
        <w:rPr>
          <w:rFonts w:ascii="Times New Roman" w:hAnsi="Times New Roman" w:cs="Times New Roman"/>
        </w:rPr>
        <w:t>czerwca</w:t>
      </w:r>
      <w:r w:rsidRPr="00B76CB6">
        <w:rPr>
          <w:rFonts w:ascii="Times New Roman" w:hAnsi="Times New Roman" w:cs="Times New Roman"/>
        </w:rPr>
        <w:t xml:space="preserve"> każdego roku na podstawie informacji przygotowanej przez Zespół zarządzania </w:t>
      </w:r>
      <w:proofErr w:type="spellStart"/>
      <w:r w:rsidRPr="00B76CB6">
        <w:rPr>
          <w:rFonts w:ascii="Times New Roman" w:hAnsi="Times New Roman" w:cs="Times New Roman"/>
        </w:rPr>
        <w:t>ryzykami</w:t>
      </w:r>
      <w:proofErr w:type="spellEnd"/>
      <w:r w:rsidRPr="00B76CB6">
        <w:rPr>
          <w:rFonts w:ascii="Times New Roman" w:hAnsi="Times New Roman" w:cs="Times New Roman"/>
        </w:rPr>
        <w:t xml:space="preserve"> i </w:t>
      </w:r>
      <w:r w:rsidR="007177EB" w:rsidRPr="00B76CB6">
        <w:rPr>
          <w:rFonts w:ascii="Times New Roman" w:hAnsi="Times New Roman" w:cs="Times New Roman"/>
        </w:rPr>
        <w:t>analiz</w:t>
      </w:r>
      <w:r w:rsidRPr="00B76CB6">
        <w:rPr>
          <w:rFonts w:ascii="Times New Roman" w:hAnsi="Times New Roman" w:cs="Times New Roman"/>
        </w:rPr>
        <w:t>.</w:t>
      </w:r>
    </w:p>
    <w:p w14:paraId="3B49AE62" w14:textId="49F80912" w:rsidR="007B53E3" w:rsidRPr="00B76CB6" w:rsidRDefault="0078137C">
      <w:pPr>
        <w:numPr>
          <w:ilvl w:val="0"/>
          <w:numId w:val="10"/>
        </w:numPr>
        <w:spacing w:line="360" w:lineRule="auto"/>
        <w:jc w:val="both"/>
        <w:rPr>
          <w:rFonts w:ascii="Times New Roman" w:hAnsi="Times New Roman" w:cs="Times New Roman"/>
        </w:rPr>
      </w:pPr>
      <w:r w:rsidRPr="00B76CB6">
        <w:rPr>
          <w:rFonts w:ascii="Times New Roman" w:hAnsi="Times New Roman" w:cs="Times New Roman"/>
        </w:rPr>
        <w:t xml:space="preserve">Weryfikacja oraz zmiany </w:t>
      </w:r>
      <w:r w:rsidR="008113A2" w:rsidRPr="00B76CB6">
        <w:rPr>
          <w:rFonts w:ascii="Times New Roman" w:hAnsi="Times New Roman" w:cs="Times New Roman"/>
        </w:rPr>
        <w:t>Polityki</w:t>
      </w:r>
      <w:r w:rsidR="007B53E3" w:rsidRPr="00B76CB6">
        <w:rPr>
          <w:rFonts w:ascii="Times New Roman" w:hAnsi="Times New Roman" w:cs="Times New Roman"/>
        </w:rPr>
        <w:t xml:space="preserve"> informacyjnej podlegają zatwierdzeniu przez </w:t>
      </w:r>
      <w:r w:rsidR="00C476AB" w:rsidRPr="00B76CB6">
        <w:rPr>
          <w:rFonts w:ascii="Times New Roman" w:hAnsi="Times New Roman" w:cs="Times New Roman"/>
        </w:rPr>
        <w:t>Zarząd</w:t>
      </w:r>
      <w:r w:rsidR="00AB0340" w:rsidRPr="00B76CB6">
        <w:rPr>
          <w:rFonts w:ascii="Times New Roman" w:hAnsi="Times New Roman" w:cs="Times New Roman"/>
        </w:rPr>
        <w:t xml:space="preserve"> i Radę Nadzorczą</w:t>
      </w:r>
      <w:r w:rsidR="007B53E3" w:rsidRPr="00B76CB6">
        <w:rPr>
          <w:rFonts w:ascii="Times New Roman" w:hAnsi="Times New Roman" w:cs="Times New Roman"/>
        </w:rPr>
        <w:t>.</w:t>
      </w:r>
    </w:p>
    <w:p w14:paraId="14B3C42A" w14:textId="77777777" w:rsidR="007B53E3" w:rsidRPr="00B76CB6" w:rsidRDefault="007B53E3">
      <w:pPr>
        <w:spacing w:line="360" w:lineRule="auto"/>
        <w:ind w:left="360"/>
        <w:jc w:val="both"/>
        <w:rPr>
          <w:rFonts w:ascii="Times New Roman" w:hAnsi="Times New Roman" w:cs="Times New Roman"/>
        </w:rPr>
      </w:pPr>
    </w:p>
    <w:p w14:paraId="4F793B93" w14:textId="2E370923" w:rsidR="007B53E3" w:rsidRPr="00B76CB6" w:rsidRDefault="007B53E3">
      <w:pPr>
        <w:spacing w:line="360" w:lineRule="auto"/>
        <w:ind w:left="360"/>
        <w:jc w:val="center"/>
        <w:rPr>
          <w:rFonts w:ascii="Times New Roman" w:hAnsi="Times New Roman" w:cs="Times New Roman"/>
        </w:rPr>
      </w:pPr>
      <w:r w:rsidRPr="00B76CB6">
        <w:rPr>
          <w:rFonts w:ascii="Times New Roman" w:hAnsi="Times New Roman" w:cs="Times New Roman"/>
        </w:rPr>
        <w:t xml:space="preserve">§ </w:t>
      </w:r>
      <w:r w:rsidR="00016732" w:rsidRPr="00B76CB6">
        <w:rPr>
          <w:rFonts w:ascii="Times New Roman" w:hAnsi="Times New Roman" w:cs="Times New Roman"/>
        </w:rPr>
        <w:t>8</w:t>
      </w:r>
    </w:p>
    <w:p w14:paraId="78EF58B5" w14:textId="1B9193D7" w:rsidR="007B53E3" w:rsidRPr="00B76CB6" w:rsidRDefault="007B53E3">
      <w:pPr>
        <w:numPr>
          <w:ilvl w:val="0"/>
          <w:numId w:val="11"/>
        </w:numPr>
        <w:spacing w:line="360" w:lineRule="auto"/>
        <w:jc w:val="both"/>
        <w:rPr>
          <w:rFonts w:ascii="Times New Roman" w:hAnsi="Times New Roman" w:cs="Times New Roman"/>
        </w:rPr>
      </w:pPr>
      <w:r w:rsidRPr="00B76CB6">
        <w:rPr>
          <w:rFonts w:ascii="Times New Roman" w:hAnsi="Times New Roman" w:cs="Times New Roman"/>
        </w:rPr>
        <w:t>Na podstawie</w:t>
      </w:r>
      <w:r w:rsidR="0030254E" w:rsidRPr="00B76CB6">
        <w:rPr>
          <w:rFonts w:ascii="Times New Roman" w:hAnsi="Times New Roman" w:cs="Times New Roman"/>
        </w:rPr>
        <w:t xml:space="preserve"> zatwierdzonej przez</w:t>
      </w:r>
      <w:r w:rsidR="00387F68" w:rsidRPr="00B76CB6">
        <w:rPr>
          <w:rFonts w:ascii="Times New Roman" w:hAnsi="Times New Roman" w:cs="Times New Roman"/>
        </w:rPr>
        <w:t xml:space="preserve"> Zarząd </w:t>
      </w:r>
      <w:r w:rsidR="008113A2" w:rsidRPr="00B76CB6">
        <w:rPr>
          <w:rFonts w:ascii="Times New Roman" w:hAnsi="Times New Roman" w:cs="Times New Roman"/>
        </w:rPr>
        <w:t>Polityki</w:t>
      </w:r>
      <w:r w:rsidRPr="00B76CB6">
        <w:rPr>
          <w:rFonts w:ascii="Times New Roman" w:hAnsi="Times New Roman" w:cs="Times New Roman"/>
        </w:rPr>
        <w:t xml:space="preserve"> informacyjnej Zespół zarządzania </w:t>
      </w:r>
      <w:proofErr w:type="spellStart"/>
      <w:r w:rsidRPr="00B76CB6">
        <w:rPr>
          <w:rFonts w:ascii="Times New Roman" w:hAnsi="Times New Roman" w:cs="Times New Roman"/>
        </w:rPr>
        <w:t>ryzykami</w:t>
      </w:r>
      <w:proofErr w:type="spellEnd"/>
      <w:r w:rsidRPr="00B76CB6">
        <w:rPr>
          <w:rFonts w:ascii="Times New Roman" w:hAnsi="Times New Roman" w:cs="Times New Roman"/>
        </w:rPr>
        <w:t xml:space="preserve"> i analiz we współpracy z pozostałymi wyznaczonymi </w:t>
      </w:r>
      <w:r w:rsidR="00913826" w:rsidRPr="00B76CB6">
        <w:rPr>
          <w:rFonts w:ascii="Times New Roman" w:hAnsi="Times New Roman" w:cs="Times New Roman"/>
        </w:rPr>
        <w:t>komórkami organizacyjnymi</w:t>
      </w:r>
      <w:r w:rsidRPr="00B76CB6">
        <w:rPr>
          <w:rFonts w:ascii="Times New Roman" w:hAnsi="Times New Roman" w:cs="Times New Roman"/>
        </w:rPr>
        <w:t xml:space="preserve"> Banku opracowuje komplet informacji podlegających ujawnieniu.</w:t>
      </w:r>
    </w:p>
    <w:p w14:paraId="112AFD96" w14:textId="77777777" w:rsidR="007B53E3" w:rsidRPr="00B76CB6" w:rsidRDefault="007B53E3">
      <w:pPr>
        <w:numPr>
          <w:ilvl w:val="0"/>
          <w:numId w:val="11"/>
        </w:numPr>
        <w:spacing w:line="360" w:lineRule="auto"/>
        <w:jc w:val="both"/>
        <w:rPr>
          <w:rFonts w:ascii="Times New Roman" w:hAnsi="Times New Roman" w:cs="Times New Roman"/>
        </w:rPr>
      </w:pPr>
      <w:r w:rsidRPr="00B76CB6">
        <w:rPr>
          <w:rFonts w:ascii="Times New Roman" w:hAnsi="Times New Roman" w:cs="Times New Roman"/>
        </w:rPr>
        <w:t>Zestawienie zakresu informacji podlegających ujawnieniom wraz z przypisaniem komórek odpowiedzialnych za ich przy</w:t>
      </w:r>
      <w:r w:rsidR="001B7D86" w:rsidRPr="00B76CB6">
        <w:rPr>
          <w:rFonts w:ascii="Times New Roman" w:hAnsi="Times New Roman" w:cs="Times New Roman"/>
        </w:rPr>
        <w:t>gotowanie zawiera załącznik nr 1</w:t>
      </w:r>
      <w:r w:rsidR="00387F68" w:rsidRPr="00B76CB6">
        <w:rPr>
          <w:rFonts w:ascii="Times New Roman" w:hAnsi="Times New Roman" w:cs="Times New Roman"/>
        </w:rPr>
        <w:t xml:space="preserve"> do niniejszej </w:t>
      </w:r>
      <w:r w:rsidR="008113A2" w:rsidRPr="00B76CB6">
        <w:rPr>
          <w:rFonts w:ascii="Times New Roman" w:hAnsi="Times New Roman" w:cs="Times New Roman"/>
        </w:rPr>
        <w:t>Polityki</w:t>
      </w:r>
      <w:r w:rsidRPr="00B76CB6">
        <w:rPr>
          <w:rFonts w:ascii="Times New Roman" w:hAnsi="Times New Roman" w:cs="Times New Roman"/>
        </w:rPr>
        <w:t>.</w:t>
      </w:r>
    </w:p>
    <w:p w14:paraId="394F1146" w14:textId="77777777" w:rsidR="007B53E3" w:rsidRPr="00B76CB6" w:rsidRDefault="007B53E3">
      <w:pPr>
        <w:numPr>
          <w:ilvl w:val="0"/>
          <w:numId w:val="11"/>
        </w:numPr>
        <w:spacing w:line="360" w:lineRule="auto"/>
        <w:jc w:val="both"/>
        <w:rPr>
          <w:rFonts w:ascii="Times New Roman" w:hAnsi="Times New Roman" w:cs="Times New Roman"/>
        </w:rPr>
      </w:pPr>
      <w:r w:rsidRPr="00B76CB6">
        <w:rPr>
          <w:rFonts w:ascii="Times New Roman" w:hAnsi="Times New Roman" w:cs="Times New Roman"/>
        </w:rPr>
        <w:t>Informacje</w:t>
      </w:r>
      <w:r w:rsidR="005F711A" w:rsidRPr="00B76CB6">
        <w:rPr>
          <w:rFonts w:ascii="Times New Roman" w:hAnsi="Times New Roman" w:cs="Times New Roman"/>
        </w:rPr>
        <w:t xml:space="preserve"> ilościowe</w:t>
      </w:r>
      <w:r w:rsidRPr="00B76CB6">
        <w:rPr>
          <w:rFonts w:ascii="Times New Roman" w:hAnsi="Times New Roman" w:cs="Times New Roman"/>
        </w:rPr>
        <w:t xml:space="preserve">, o których mowa w ust. 1 muszą być udostępnione wszystkim zainteresowanym najpóźniej w terminie </w:t>
      </w:r>
      <w:r w:rsidR="007B73EC" w:rsidRPr="00B76CB6">
        <w:rPr>
          <w:rFonts w:ascii="Times New Roman" w:hAnsi="Times New Roman" w:cs="Times New Roman"/>
        </w:rPr>
        <w:t>publikacji</w:t>
      </w:r>
      <w:r w:rsidRPr="00B76CB6">
        <w:rPr>
          <w:rFonts w:ascii="Times New Roman" w:hAnsi="Times New Roman" w:cs="Times New Roman"/>
        </w:rPr>
        <w:t xml:space="preserve"> sprawozdania finansoweg</w:t>
      </w:r>
      <w:r w:rsidR="007B73EC" w:rsidRPr="00B76CB6">
        <w:rPr>
          <w:rFonts w:ascii="Times New Roman" w:hAnsi="Times New Roman" w:cs="Times New Roman"/>
        </w:rPr>
        <w:t>o Banku</w:t>
      </w:r>
      <w:r w:rsidR="005F711A" w:rsidRPr="00B76CB6">
        <w:rPr>
          <w:rFonts w:ascii="Times New Roman" w:hAnsi="Times New Roman" w:cs="Times New Roman"/>
        </w:rPr>
        <w:t>, natomiast informacje o charakterze jakościowym (opisowe) powinny podlegać bieżącej aktualizacji</w:t>
      </w:r>
      <w:r w:rsidRPr="00B76CB6">
        <w:rPr>
          <w:rFonts w:ascii="Times New Roman" w:hAnsi="Times New Roman" w:cs="Times New Roman"/>
        </w:rPr>
        <w:t>.</w:t>
      </w:r>
    </w:p>
    <w:p w14:paraId="6A441090" w14:textId="20652345" w:rsidR="002D21F6" w:rsidRPr="00B76CB6" w:rsidRDefault="007B53E3">
      <w:pPr>
        <w:numPr>
          <w:ilvl w:val="0"/>
          <w:numId w:val="11"/>
        </w:numPr>
        <w:spacing w:line="360" w:lineRule="auto"/>
        <w:jc w:val="both"/>
        <w:rPr>
          <w:rFonts w:ascii="Times New Roman" w:hAnsi="Times New Roman" w:cs="Times New Roman"/>
        </w:rPr>
      </w:pPr>
      <w:r w:rsidRPr="00B76CB6">
        <w:rPr>
          <w:rFonts w:ascii="Times New Roman" w:hAnsi="Times New Roman" w:cs="Times New Roman"/>
        </w:rPr>
        <w:t>Inf</w:t>
      </w:r>
      <w:r w:rsidR="00D4795E" w:rsidRPr="00B76CB6">
        <w:rPr>
          <w:rFonts w:ascii="Times New Roman" w:hAnsi="Times New Roman" w:cs="Times New Roman"/>
        </w:rPr>
        <w:t>ormacje, o których mowa w ust. 3</w:t>
      </w:r>
      <w:r w:rsidRPr="00B76CB6">
        <w:rPr>
          <w:rFonts w:ascii="Times New Roman" w:hAnsi="Times New Roman" w:cs="Times New Roman"/>
        </w:rPr>
        <w:t xml:space="preserve"> podlegają weryfikacji przez </w:t>
      </w:r>
      <w:r w:rsidR="007177EB" w:rsidRPr="00B76CB6">
        <w:rPr>
          <w:rFonts w:ascii="Times New Roman" w:hAnsi="Times New Roman" w:cs="Times New Roman"/>
        </w:rPr>
        <w:t>Wiceprezesa</w:t>
      </w:r>
      <w:r w:rsidR="00D4795E" w:rsidRPr="00B76CB6">
        <w:rPr>
          <w:rFonts w:ascii="Times New Roman" w:hAnsi="Times New Roman" w:cs="Times New Roman"/>
        </w:rPr>
        <w:t xml:space="preserve"> Zarządu</w:t>
      </w:r>
      <w:r w:rsidR="007177EB" w:rsidRPr="00B76CB6">
        <w:rPr>
          <w:rFonts w:ascii="Times New Roman" w:hAnsi="Times New Roman" w:cs="Times New Roman"/>
        </w:rPr>
        <w:t xml:space="preserve"> ds. Finansowo-Księgow</w:t>
      </w:r>
      <w:r w:rsidR="008E17C8" w:rsidRPr="00B76CB6">
        <w:rPr>
          <w:rFonts w:ascii="Times New Roman" w:hAnsi="Times New Roman" w:cs="Times New Roman"/>
        </w:rPr>
        <w:t>ych</w:t>
      </w:r>
      <w:r w:rsidR="002D21F6" w:rsidRPr="00B76CB6">
        <w:rPr>
          <w:rFonts w:ascii="Times New Roman" w:hAnsi="Times New Roman" w:cs="Times New Roman"/>
        </w:rPr>
        <w:t>.</w:t>
      </w:r>
    </w:p>
    <w:p w14:paraId="29568399" w14:textId="045FD372" w:rsidR="007B53E3" w:rsidRPr="00B76CB6" w:rsidRDefault="002D21F6">
      <w:pPr>
        <w:numPr>
          <w:ilvl w:val="0"/>
          <w:numId w:val="11"/>
        </w:numPr>
        <w:spacing w:line="360" w:lineRule="auto"/>
        <w:jc w:val="both"/>
        <w:rPr>
          <w:rFonts w:ascii="Times New Roman" w:hAnsi="Times New Roman" w:cs="Times New Roman"/>
        </w:rPr>
      </w:pPr>
      <w:r w:rsidRPr="00B76CB6">
        <w:rPr>
          <w:rFonts w:ascii="Times New Roman" w:hAnsi="Times New Roman" w:cs="Times New Roman"/>
        </w:rPr>
        <w:t>Informacje publikowane na podstawie Rozporządzenia CRR są</w:t>
      </w:r>
      <w:r w:rsidR="00AB0340" w:rsidRPr="00B76CB6">
        <w:rPr>
          <w:rFonts w:ascii="Times New Roman" w:hAnsi="Times New Roman" w:cs="Times New Roman"/>
        </w:rPr>
        <w:t xml:space="preserve"> zatwierdz</w:t>
      </w:r>
      <w:r w:rsidRPr="00B76CB6">
        <w:rPr>
          <w:rFonts w:ascii="Times New Roman" w:hAnsi="Times New Roman" w:cs="Times New Roman"/>
        </w:rPr>
        <w:t>a</w:t>
      </w:r>
      <w:r w:rsidR="00AB0340" w:rsidRPr="00B76CB6">
        <w:rPr>
          <w:rFonts w:ascii="Times New Roman" w:hAnsi="Times New Roman" w:cs="Times New Roman"/>
        </w:rPr>
        <w:t>ne przez</w:t>
      </w:r>
      <w:r w:rsidR="00E467BD" w:rsidRPr="00B76CB6">
        <w:rPr>
          <w:rFonts w:ascii="Times New Roman" w:hAnsi="Times New Roman" w:cs="Times New Roman"/>
        </w:rPr>
        <w:t xml:space="preserve"> Zarząd i</w:t>
      </w:r>
      <w:r w:rsidR="00AB0340" w:rsidRPr="00B76CB6">
        <w:rPr>
          <w:rFonts w:ascii="Times New Roman" w:hAnsi="Times New Roman" w:cs="Times New Roman"/>
        </w:rPr>
        <w:t xml:space="preserve"> Radę Nadzorczą</w:t>
      </w:r>
      <w:r w:rsidR="008E17C8" w:rsidRPr="00B76CB6">
        <w:rPr>
          <w:rFonts w:ascii="Times New Roman" w:hAnsi="Times New Roman" w:cs="Times New Roman"/>
        </w:rPr>
        <w:t xml:space="preserve"> przed ich publikacją</w:t>
      </w:r>
      <w:r w:rsidR="007B53E3" w:rsidRPr="00B76CB6">
        <w:rPr>
          <w:rFonts w:ascii="Times New Roman" w:hAnsi="Times New Roman" w:cs="Times New Roman"/>
        </w:rPr>
        <w:t xml:space="preserve">. </w:t>
      </w:r>
    </w:p>
    <w:p w14:paraId="77033DE6" w14:textId="77777777" w:rsidR="007B53E3" w:rsidRPr="00B76CB6" w:rsidRDefault="007B53E3">
      <w:pPr>
        <w:spacing w:line="360" w:lineRule="auto"/>
        <w:jc w:val="both"/>
        <w:rPr>
          <w:rFonts w:ascii="Times New Roman" w:hAnsi="Times New Roman" w:cs="Times New Roman"/>
        </w:rPr>
      </w:pPr>
    </w:p>
    <w:p w14:paraId="526A9F08" w14:textId="03B705EE" w:rsidR="007B53E3" w:rsidRPr="00B76CB6" w:rsidRDefault="007B53E3">
      <w:pPr>
        <w:pStyle w:val="Tekstpodstawowy"/>
        <w:jc w:val="center"/>
        <w:rPr>
          <w:rFonts w:ascii="Times New Roman" w:hAnsi="Times New Roman" w:cs="Times New Roman"/>
          <w:bCs/>
        </w:rPr>
      </w:pPr>
      <w:r w:rsidRPr="00B76CB6">
        <w:rPr>
          <w:rFonts w:ascii="Times New Roman" w:hAnsi="Times New Roman" w:cs="Times New Roman"/>
          <w:bCs/>
        </w:rPr>
        <w:t xml:space="preserve">§ </w:t>
      </w:r>
      <w:r w:rsidR="00016732" w:rsidRPr="00B76CB6">
        <w:rPr>
          <w:rFonts w:ascii="Times New Roman" w:hAnsi="Times New Roman" w:cs="Times New Roman"/>
          <w:bCs/>
        </w:rPr>
        <w:t>9</w:t>
      </w:r>
    </w:p>
    <w:p w14:paraId="5F63E71F" w14:textId="77777777" w:rsidR="007B53E3" w:rsidRPr="00B76CB6" w:rsidRDefault="007B53E3">
      <w:pPr>
        <w:pStyle w:val="Tekstpodstawowy3"/>
        <w:spacing w:line="360" w:lineRule="auto"/>
        <w:jc w:val="left"/>
        <w:rPr>
          <w:rFonts w:ascii="Times New Roman" w:hAnsi="Times New Roman" w:cs="Times New Roman"/>
          <w:sz w:val="24"/>
          <w:szCs w:val="24"/>
        </w:rPr>
      </w:pPr>
      <w:r w:rsidRPr="00B76CB6">
        <w:rPr>
          <w:rFonts w:ascii="Times New Roman" w:hAnsi="Times New Roman" w:cs="Times New Roman"/>
          <w:sz w:val="24"/>
          <w:szCs w:val="24"/>
        </w:rPr>
        <w:t>Ujawniane informacje powinny spełniać następujące wymogi:</w:t>
      </w:r>
    </w:p>
    <w:p w14:paraId="16A67BB6" w14:textId="77777777" w:rsidR="007B53E3" w:rsidRPr="00B76CB6" w:rsidRDefault="007B53E3">
      <w:pPr>
        <w:pStyle w:val="Tekstpodstawowy"/>
        <w:numPr>
          <w:ilvl w:val="0"/>
          <w:numId w:val="12"/>
        </w:numPr>
        <w:rPr>
          <w:rFonts w:ascii="Times New Roman" w:hAnsi="Times New Roman" w:cs="Times New Roman"/>
        </w:rPr>
      </w:pPr>
      <w:r w:rsidRPr="00B76CB6">
        <w:rPr>
          <w:rFonts w:ascii="Times New Roman" w:hAnsi="Times New Roman" w:cs="Times New Roman"/>
        </w:rPr>
        <w:t xml:space="preserve">Kompleksowość </w:t>
      </w:r>
      <w:r w:rsidR="00387F68" w:rsidRPr="00B76CB6">
        <w:rPr>
          <w:rFonts w:ascii="Times New Roman" w:hAnsi="Times New Roman" w:cs="Times New Roman"/>
        </w:rPr>
        <w:t>obrazu profilu ryzyka Banku</w:t>
      </w:r>
      <w:r w:rsidRPr="00B76CB6">
        <w:rPr>
          <w:rFonts w:ascii="Times New Roman" w:hAnsi="Times New Roman" w:cs="Times New Roman"/>
        </w:rPr>
        <w:t>.</w:t>
      </w:r>
    </w:p>
    <w:p w14:paraId="0BE4BABB" w14:textId="77777777" w:rsidR="007B53E3" w:rsidRPr="00B76CB6" w:rsidRDefault="007B53E3">
      <w:pPr>
        <w:pStyle w:val="Tekstpodstawowy"/>
        <w:numPr>
          <w:ilvl w:val="0"/>
          <w:numId w:val="12"/>
        </w:numPr>
        <w:rPr>
          <w:rFonts w:ascii="Times New Roman" w:hAnsi="Times New Roman" w:cs="Times New Roman"/>
        </w:rPr>
      </w:pPr>
      <w:r w:rsidRPr="00B76CB6">
        <w:rPr>
          <w:rFonts w:ascii="Times New Roman" w:hAnsi="Times New Roman" w:cs="Times New Roman"/>
        </w:rPr>
        <w:t>Przydatność i aktualność,  pozwalające ocenić bezpieczeństwo i stabilność działań Banku.</w:t>
      </w:r>
    </w:p>
    <w:p w14:paraId="60DC4198" w14:textId="77777777" w:rsidR="007B53E3" w:rsidRPr="00B76CB6" w:rsidRDefault="007B53E3">
      <w:pPr>
        <w:pStyle w:val="Tekstpodstawowy"/>
        <w:numPr>
          <w:ilvl w:val="0"/>
          <w:numId w:val="12"/>
        </w:numPr>
        <w:rPr>
          <w:rFonts w:ascii="Times New Roman" w:hAnsi="Times New Roman" w:cs="Times New Roman"/>
        </w:rPr>
      </w:pPr>
      <w:r w:rsidRPr="00B76CB6">
        <w:rPr>
          <w:rFonts w:ascii="Times New Roman" w:hAnsi="Times New Roman" w:cs="Times New Roman"/>
        </w:rPr>
        <w:t>Wiarygodność, odzwierciedlająca ekonomiczną treść zdarzeń i transakcji.</w:t>
      </w:r>
    </w:p>
    <w:p w14:paraId="7CCD3DC1" w14:textId="77777777" w:rsidR="007B53E3" w:rsidRPr="00B76CB6" w:rsidRDefault="007B53E3">
      <w:pPr>
        <w:pStyle w:val="Tekstpodstawowy"/>
        <w:numPr>
          <w:ilvl w:val="0"/>
          <w:numId w:val="12"/>
        </w:numPr>
        <w:rPr>
          <w:rFonts w:ascii="Times New Roman" w:hAnsi="Times New Roman" w:cs="Times New Roman"/>
        </w:rPr>
      </w:pPr>
      <w:r w:rsidRPr="00B76CB6">
        <w:rPr>
          <w:rFonts w:ascii="Times New Roman" w:hAnsi="Times New Roman" w:cs="Times New Roman"/>
        </w:rPr>
        <w:t>Porównywalność, umożliwiająca ocenę pozycji finansowej i wyniku finansowego Banku względem innych banków.</w:t>
      </w:r>
    </w:p>
    <w:p w14:paraId="68C717A3" w14:textId="77777777" w:rsidR="007B53E3" w:rsidRPr="00B76CB6" w:rsidRDefault="007B53E3">
      <w:pPr>
        <w:pStyle w:val="Tekstpodstawowy"/>
        <w:numPr>
          <w:ilvl w:val="0"/>
          <w:numId w:val="12"/>
        </w:numPr>
        <w:rPr>
          <w:rFonts w:ascii="Times New Roman" w:hAnsi="Times New Roman" w:cs="Times New Roman"/>
        </w:rPr>
      </w:pPr>
      <w:r w:rsidRPr="00B76CB6">
        <w:rPr>
          <w:rFonts w:ascii="Times New Roman" w:hAnsi="Times New Roman" w:cs="Times New Roman"/>
        </w:rPr>
        <w:t>Istotność, przydatność do oceny ryzyka Banku.</w:t>
      </w:r>
    </w:p>
    <w:p w14:paraId="38E2B23D" w14:textId="77777777" w:rsidR="007B53E3" w:rsidRPr="00B76CB6" w:rsidRDefault="007B53E3">
      <w:pPr>
        <w:spacing w:line="360" w:lineRule="auto"/>
        <w:jc w:val="both"/>
        <w:rPr>
          <w:rFonts w:ascii="Times New Roman" w:hAnsi="Times New Roman" w:cs="Times New Roman"/>
        </w:rPr>
      </w:pPr>
    </w:p>
    <w:p w14:paraId="6BDCA8D2" w14:textId="6E98577C" w:rsidR="007B53E3" w:rsidRPr="00B76CB6" w:rsidRDefault="007B53E3">
      <w:pPr>
        <w:pStyle w:val="Tekstpodstawowy"/>
        <w:jc w:val="center"/>
        <w:rPr>
          <w:rFonts w:ascii="Times New Roman" w:hAnsi="Times New Roman" w:cs="Times New Roman"/>
          <w:bCs/>
        </w:rPr>
      </w:pPr>
      <w:r w:rsidRPr="00B76CB6">
        <w:rPr>
          <w:rFonts w:ascii="Times New Roman" w:hAnsi="Times New Roman" w:cs="Times New Roman"/>
          <w:bCs/>
        </w:rPr>
        <w:t>§ 1</w:t>
      </w:r>
      <w:r w:rsidR="00016732" w:rsidRPr="00B76CB6">
        <w:rPr>
          <w:rFonts w:ascii="Times New Roman" w:hAnsi="Times New Roman" w:cs="Times New Roman"/>
          <w:bCs/>
        </w:rPr>
        <w:t>0</w:t>
      </w:r>
    </w:p>
    <w:p w14:paraId="0B457841" w14:textId="77777777" w:rsidR="007B53E3" w:rsidRPr="00B76CB6" w:rsidRDefault="007B53E3" w:rsidP="007742E7">
      <w:pPr>
        <w:pStyle w:val="Tekstpodstawowy"/>
        <w:numPr>
          <w:ilvl w:val="0"/>
          <w:numId w:val="13"/>
        </w:numPr>
        <w:tabs>
          <w:tab w:val="clear" w:pos="2202"/>
        </w:tabs>
        <w:ind w:left="851"/>
        <w:rPr>
          <w:rFonts w:ascii="Times New Roman" w:hAnsi="Times New Roman" w:cs="Times New Roman"/>
          <w:bCs/>
        </w:rPr>
      </w:pPr>
      <w:bookmarkStart w:id="2" w:name="_GoBack"/>
      <w:bookmarkEnd w:id="2"/>
      <w:r w:rsidRPr="00B76CB6">
        <w:rPr>
          <w:rFonts w:ascii="Times New Roman" w:hAnsi="Times New Roman" w:cs="Times New Roman"/>
          <w:bCs/>
        </w:rPr>
        <w:t xml:space="preserve">Bank może przy ujawnianiu informacji o charakterze jakościowym i ilościowym dotyczących adekwatności kapitałowej pominąć te, które uzna za </w:t>
      </w:r>
      <w:r w:rsidR="007B73EC" w:rsidRPr="00B76CB6">
        <w:rPr>
          <w:rFonts w:ascii="Times New Roman" w:hAnsi="Times New Roman" w:cs="Times New Roman"/>
          <w:bCs/>
        </w:rPr>
        <w:t>poufne lub chronione</w:t>
      </w:r>
      <w:r w:rsidRPr="00B76CB6">
        <w:rPr>
          <w:rFonts w:ascii="Times New Roman" w:hAnsi="Times New Roman" w:cs="Times New Roman"/>
          <w:bCs/>
        </w:rPr>
        <w:t>.</w:t>
      </w:r>
    </w:p>
    <w:p w14:paraId="032301C0" w14:textId="77777777" w:rsidR="007B53E3" w:rsidRPr="007C10D2" w:rsidRDefault="007B53E3" w:rsidP="00B76CB6">
      <w:pPr>
        <w:pStyle w:val="Tekstpodstawowy"/>
        <w:numPr>
          <w:ilvl w:val="0"/>
          <w:numId w:val="13"/>
        </w:numPr>
        <w:tabs>
          <w:tab w:val="clear" w:pos="2202"/>
          <w:tab w:val="num" w:pos="709"/>
        </w:tabs>
        <w:ind w:left="709" w:hanging="283"/>
        <w:rPr>
          <w:rFonts w:ascii="Times New Roman" w:hAnsi="Times New Roman" w:cs="Times New Roman"/>
          <w:bCs/>
        </w:rPr>
      </w:pPr>
      <w:r w:rsidRPr="00B76CB6">
        <w:rPr>
          <w:rFonts w:ascii="Times New Roman" w:hAnsi="Times New Roman" w:cs="Times New Roman"/>
          <w:bCs/>
        </w:rPr>
        <w:lastRenderedPageBreak/>
        <w:t>Z wnioskiem o zaniechanie ujawniania informacji z podaniem przyczyny występuje do Zarządu</w:t>
      </w:r>
      <w:r w:rsidRPr="007C10D2">
        <w:rPr>
          <w:rFonts w:ascii="Times New Roman" w:hAnsi="Times New Roman" w:cs="Times New Roman"/>
          <w:bCs/>
        </w:rPr>
        <w:t xml:space="preserve"> Zesp</w:t>
      </w:r>
      <w:r w:rsidR="002D69F1" w:rsidRPr="007C10D2">
        <w:rPr>
          <w:rFonts w:ascii="Times New Roman" w:hAnsi="Times New Roman" w:cs="Times New Roman"/>
          <w:bCs/>
        </w:rPr>
        <w:t xml:space="preserve">ół zarządzania </w:t>
      </w:r>
      <w:proofErr w:type="spellStart"/>
      <w:r w:rsidR="002D69F1" w:rsidRPr="007C10D2">
        <w:rPr>
          <w:rFonts w:ascii="Times New Roman" w:hAnsi="Times New Roman" w:cs="Times New Roman"/>
          <w:bCs/>
        </w:rPr>
        <w:t>ryzykami</w:t>
      </w:r>
      <w:proofErr w:type="spellEnd"/>
      <w:r w:rsidR="002D69F1" w:rsidRPr="007C10D2">
        <w:rPr>
          <w:rFonts w:ascii="Times New Roman" w:hAnsi="Times New Roman" w:cs="Times New Roman"/>
          <w:bCs/>
        </w:rPr>
        <w:t xml:space="preserve"> i </w:t>
      </w:r>
      <w:r w:rsidR="002D69F1" w:rsidRPr="007C10D2">
        <w:rPr>
          <w:rFonts w:ascii="Times New Roman" w:hAnsi="Times New Roman" w:cs="Times New Roman"/>
        </w:rPr>
        <w:t>analiz</w:t>
      </w:r>
      <w:r w:rsidRPr="007C10D2">
        <w:rPr>
          <w:rFonts w:ascii="Times New Roman" w:hAnsi="Times New Roman" w:cs="Times New Roman"/>
          <w:bCs/>
        </w:rPr>
        <w:t>.</w:t>
      </w:r>
    </w:p>
    <w:p w14:paraId="7106D5B3" w14:textId="539CBFA8" w:rsidR="007B53E3" w:rsidRPr="00B76CB6" w:rsidRDefault="00D15DD3" w:rsidP="00D15DD3">
      <w:pPr>
        <w:pStyle w:val="Tekstpodstawowy"/>
        <w:numPr>
          <w:ilvl w:val="0"/>
          <w:numId w:val="13"/>
        </w:numPr>
        <w:tabs>
          <w:tab w:val="clear" w:pos="2202"/>
          <w:tab w:val="left" w:pos="284"/>
        </w:tabs>
        <w:ind w:left="709" w:hanging="283"/>
        <w:rPr>
          <w:rFonts w:ascii="Times New Roman" w:hAnsi="Times New Roman" w:cs="Times New Roman"/>
          <w:bCs/>
        </w:rPr>
      </w:pPr>
      <w:r>
        <w:rPr>
          <w:rFonts w:ascii="Times New Roman" w:hAnsi="Times New Roman" w:cs="Times New Roman"/>
          <w:bCs/>
        </w:rPr>
        <w:t xml:space="preserve"> </w:t>
      </w:r>
      <w:r w:rsidR="007B53E3" w:rsidRPr="007C10D2">
        <w:rPr>
          <w:rFonts w:ascii="Times New Roman" w:hAnsi="Times New Roman" w:cs="Times New Roman"/>
          <w:bCs/>
        </w:rPr>
        <w:t>Zarząd</w:t>
      </w:r>
      <w:r w:rsidR="004956B5" w:rsidRPr="007C10D2">
        <w:rPr>
          <w:rFonts w:ascii="Times New Roman" w:hAnsi="Times New Roman" w:cs="Times New Roman"/>
          <w:bCs/>
        </w:rPr>
        <w:t xml:space="preserve"> na podstawie przeglądu adekwatności prezentowanych informacji</w:t>
      </w:r>
      <w:r w:rsidR="007B53E3" w:rsidRPr="007C10D2">
        <w:rPr>
          <w:rFonts w:ascii="Times New Roman" w:hAnsi="Times New Roman" w:cs="Times New Roman"/>
          <w:bCs/>
        </w:rPr>
        <w:t xml:space="preserve"> podejmuje decyzję o zaniechaniu ujawniania informacji, którą uzna za </w:t>
      </w:r>
      <w:r w:rsidR="007B73EC" w:rsidRPr="007C10D2">
        <w:rPr>
          <w:rFonts w:ascii="Times New Roman" w:hAnsi="Times New Roman" w:cs="Times New Roman"/>
          <w:bCs/>
        </w:rPr>
        <w:t xml:space="preserve">poufną </w:t>
      </w:r>
      <w:r w:rsidR="007B73EC" w:rsidRPr="00B76CB6">
        <w:rPr>
          <w:rFonts w:ascii="Times New Roman" w:hAnsi="Times New Roman" w:cs="Times New Roman"/>
          <w:bCs/>
        </w:rPr>
        <w:t>lub chronioną</w:t>
      </w:r>
      <w:r w:rsidR="007B53E3" w:rsidRPr="00B76CB6">
        <w:rPr>
          <w:rFonts w:ascii="Times New Roman" w:hAnsi="Times New Roman" w:cs="Times New Roman"/>
          <w:bCs/>
        </w:rPr>
        <w:t>.</w:t>
      </w:r>
    </w:p>
    <w:p w14:paraId="3543BB36" w14:textId="1F845877" w:rsidR="00724F3E" w:rsidRPr="00B76CB6" w:rsidRDefault="00724F3E" w:rsidP="00B76CB6">
      <w:pPr>
        <w:pStyle w:val="Tekstpodstawowy"/>
        <w:numPr>
          <w:ilvl w:val="0"/>
          <w:numId w:val="13"/>
        </w:numPr>
        <w:tabs>
          <w:tab w:val="clear" w:pos="2202"/>
        </w:tabs>
        <w:ind w:left="709" w:hanging="283"/>
        <w:rPr>
          <w:rFonts w:ascii="Times New Roman" w:hAnsi="Times New Roman" w:cs="Times New Roman"/>
          <w:bCs/>
        </w:rPr>
      </w:pPr>
      <w:r w:rsidRPr="00B76CB6">
        <w:rPr>
          <w:rFonts w:ascii="Times New Roman" w:hAnsi="Times New Roman" w:cs="Times New Roman"/>
        </w:rPr>
        <w:t xml:space="preserve">Osoba ze szczególnymi potrzebami, o której mowa w ustawie z dnia </w:t>
      </w:r>
      <w:r w:rsidR="00B92FDF" w:rsidRPr="00B76CB6">
        <w:rPr>
          <w:rFonts w:ascii="Times New Roman" w:hAnsi="Times New Roman" w:cs="Times New Roman"/>
        </w:rPr>
        <w:t>24 kwietnia 2024r.</w:t>
      </w:r>
      <w:r w:rsidRPr="00B76CB6">
        <w:rPr>
          <w:rFonts w:ascii="Times New Roman" w:hAnsi="Times New Roman" w:cs="Times New Roman"/>
        </w:rPr>
        <w:t xml:space="preserve"> o zapewnianiu dostępności osobom ze szczególnymi potrzebami, ma prawo otrzymania informacji, o których mowa w ust. 1 pkt. 1) – 8), w formach takich jak nagranie audio, nagranie wizualne treści w polskim języku migowym, wydruk w alfabecie Braille'a lub wydruk z wielkością czcionki wygodną do czytania.</w:t>
      </w:r>
    </w:p>
    <w:p w14:paraId="2E4121A7" w14:textId="77777777" w:rsidR="007B53E3" w:rsidRPr="007C10D2" w:rsidRDefault="007B53E3" w:rsidP="00B76CB6">
      <w:pPr>
        <w:spacing w:line="360" w:lineRule="auto"/>
        <w:ind w:left="709" w:hanging="1776"/>
        <w:jc w:val="center"/>
        <w:rPr>
          <w:rFonts w:ascii="Times New Roman" w:hAnsi="Times New Roman" w:cs="Times New Roman"/>
        </w:rPr>
      </w:pPr>
    </w:p>
    <w:p w14:paraId="228AD10D" w14:textId="77777777" w:rsidR="00724F3E" w:rsidRPr="007C10D2" w:rsidRDefault="00724F3E">
      <w:pPr>
        <w:spacing w:line="360" w:lineRule="auto"/>
        <w:ind w:left="360"/>
        <w:jc w:val="center"/>
        <w:rPr>
          <w:rFonts w:ascii="Times New Roman" w:hAnsi="Times New Roman" w:cs="Times New Roman"/>
        </w:rPr>
      </w:pPr>
    </w:p>
    <w:p w14:paraId="13B4C42F" w14:textId="77777777" w:rsidR="007B53E3" w:rsidRPr="007C10D2" w:rsidRDefault="007B53E3">
      <w:pPr>
        <w:spacing w:line="360" w:lineRule="auto"/>
        <w:ind w:left="360"/>
        <w:jc w:val="center"/>
        <w:rPr>
          <w:rFonts w:ascii="Times New Roman" w:hAnsi="Times New Roman" w:cs="Times New Roman"/>
          <w:b/>
          <w:bCs/>
        </w:rPr>
      </w:pPr>
      <w:r w:rsidRPr="007C10D2">
        <w:rPr>
          <w:rFonts w:ascii="Times New Roman" w:hAnsi="Times New Roman" w:cs="Times New Roman"/>
          <w:b/>
          <w:bCs/>
        </w:rPr>
        <w:t>4. Zakres zadań i odpowiedzialności w procesie ujawniania informacji</w:t>
      </w:r>
    </w:p>
    <w:p w14:paraId="18D7019D" w14:textId="77777777" w:rsidR="007B53E3" w:rsidRPr="007C10D2" w:rsidRDefault="007B53E3">
      <w:pPr>
        <w:spacing w:line="360" w:lineRule="auto"/>
        <w:ind w:left="360"/>
        <w:jc w:val="both"/>
        <w:rPr>
          <w:rFonts w:ascii="Times New Roman" w:hAnsi="Times New Roman" w:cs="Times New Roman"/>
        </w:rPr>
      </w:pPr>
    </w:p>
    <w:p w14:paraId="0B65A2E7" w14:textId="5BBE81FE" w:rsidR="007B53E3" w:rsidRPr="007C10D2" w:rsidRDefault="007B53E3">
      <w:pPr>
        <w:spacing w:line="360" w:lineRule="auto"/>
        <w:ind w:left="360"/>
        <w:jc w:val="center"/>
        <w:rPr>
          <w:rFonts w:ascii="Times New Roman" w:hAnsi="Times New Roman" w:cs="Times New Roman"/>
        </w:rPr>
      </w:pPr>
      <w:r w:rsidRPr="007C10D2">
        <w:rPr>
          <w:rFonts w:ascii="Times New Roman" w:hAnsi="Times New Roman" w:cs="Times New Roman"/>
        </w:rPr>
        <w:t>§ 1</w:t>
      </w:r>
      <w:r w:rsidR="00016732" w:rsidRPr="007C10D2">
        <w:rPr>
          <w:rFonts w:ascii="Times New Roman" w:hAnsi="Times New Roman" w:cs="Times New Roman"/>
        </w:rPr>
        <w:t>1</w:t>
      </w:r>
    </w:p>
    <w:p w14:paraId="55273A9A" w14:textId="77777777" w:rsidR="007B53E3" w:rsidRPr="007C10D2" w:rsidRDefault="007B53E3">
      <w:pPr>
        <w:spacing w:line="360" w:lineRule="auto"/>
        <w:ind w:left="360"/>
        <w:rPr>
          <w:rFonts w:ascii="Times New Roman" w:hAnsi="Times New Roman" w:cs="Times New Roman"/>
        </w:rPr>
      </w:pPr>
      <w:r w:rsidRPr="007C10D2">
        <w:rPr>
          <w:rFonts w:ascii="Times New Roman" w:hAnsi="Times New Roman" w:cs="Times New Roman"/>
        </w:rPr>
        <w:t>W procesie ujawniania informacji uczestniczą:</w:t>
      </w:r>
    </w:p>
    <w:p w14:paraId="5D00191C" w14:textId="77777777" w:rsidR="007B53E3" w:rsidRPr="007C10D2" w:rsidRDefault="007B53E3">
      <w:pPr>
        <w:numPr>
          <w:ilvl w:val="0"/>
          <w:numId w:val="5"/>
        </w:numPr>
        <w:spacing w:line="360" w:lineRule="auto"/>
        <w:rPr>
          <w:rFonts w:ascii="Times New Roman" w:hAnsi="Times New Roman" w:cs="Times New Roman"/>
        </w:rPr>
      </w:pPr>
      <w:r w:rsidRPr="007C10D2">
        <w:rPr>
          <w:rFonts w:ascii="Times New Roman" w:hAnsi="Times New Roman" w:cs="Times New Roman"/>
        </w:rPr>
        <w:t>Zebranie Przedstawicieli, zatwierdzające sprawozdanie finansowe Banku.</w:t>
      </w:r>
    </w:p>
    <w:p w14:paraId="3F40E3B7" w14:textId="51C409E4" w:rsidR="00AB0340" w:rsidRPr="007C10D2" w:rsidRDefault="00AB0340">
      <w:pPr>
        <w:numPr>
          <w:ilvl w:val="0"/>
          <w:numId w:val="5"/>
        </w:numPr>
        <w:spacing w:line="360" w:lineRule="auto"/>
        <w:rPr>
          <w:rFonts w:ascii="Times New Roman" w:hAnsi="Times New Roman" w:cs="Times New Roman"/>
        </w:rPr>
      </w:pPr>
      <w:r w:rsidRPr="007C10D2">
        <w:rPr>
          <w:rFonts w:ascii="Times New Roman" w:hAnsi="Times New Roman" w:cs="Times New Roman"/>
        </w:rPr>
        <w:t xml:space="preserve">Rada Nadzorcza zatwierdzająca Politykę informacyjną oraz jej zmiany a także informacje </w:t>
      </w:r>
      <w:r w:rsidR="00AD20AD" w:rsidRPr="007C10D2">
        <w:rPr>
          <w:rFonts w:ascii="Times New Roman" w:hAnsi="Times New Roman" w:cs="Times New Roman"/>
        </w:rPr>
        <w:t>ujawniane</w:t>
      </w:r>
      <w:r w:rsidRPr="007C10D2">
        <w:rPr>
          <w:rFonts w:ascii="Times New Roman" w:hAnsi="Times New Roman" w:cs="Times New Roman"/>
        </w:rPr>
        <w:t xml:space="preserve"> na podstawie</w:t>
      </w:r>
      <w:r w:rsidR="00181005" w:rsidRPr="007C10D2">
        <w:rPr>
          <w:rFonts w:ascii="Times New Roman" w:hAnsi="Times New Roman" w:cs="Times New Roman"/>
        </w:rPr>
        <w:t xml:space="preserve"> Rozporządzenia CRR</w:t>
      </w:r>
      <w:r w:rsidRPr="007C10D2">
        <w:rPr>
          <w:rFonts w:ascii="Times New Roman" w:hAnsi="Times New Roman" w:cs="Times New Roman"/>
        </w:rPr>
        <w:t>.</w:t>
      </w:r>
    </w:p>
    <w:p w14:paraId="379A95BC" w14:textId="72B1E60B" w:rsidR="007B53E3" w:rsidRPr="007C10D2" w:rsidRDefault="007B53E3">
      <w:pPr>
        <w:numPr>
          <w:ilvl w:val="0"/>
          <w:numId w:val="5"/>
        </w:numPr>
        <w:spacing w:line="360" w:lineRule="auto"/>
        <w:rPr>
          <w:rFonts w:ascii="Times New Roman" w:hAnsi="Times New Roman" w:cs="Times New Roman"/>
        </w:rPr>
      </w:pPr>
      <w:r w:rsidRPr="007C10D2">
        <w:rPr>
          <w:rFonts w:ascii="Times New Roman" w:hAnsi="Times New Roman" w:cs="Times New Roman"/>
        </w:rPr>
        <w:t xml:space="preserve">Zarząd Banku odpowiada za opracowanie i realizację </w:t>
      </w:r>
      <w:r w:rsidR="008113A2" w:rsidRPr="007C10D2">
        <w:rPr>
          <w:rFonts w:ascii="Times New Roman" w:hAnsi="Times New Roman" w:cs="Times New Roman"/>
        </w:rPr>
        <w:t>Polityki</w:t>
      </w:r>
      <w:r w:rsidR="0078137C" w:rsidRPr="007C10D2">
        <w:rPr>
          <w:rFonts w:ascii="Times New Roman" w:hAnsi="Times New Roman" w:cs="Times New Roman"/>
        </w:rPr>
        <w:t xml:space="preserve"> informacyjnej</w:t>
      </w:r>
      <w:r w:rsidRPr="007C10D2">
        <w:rPr>
          <w:rFonts w:ascii="Times New Roman" w:hAnsi="Times New Roman" w:cs="Times New Roman"/>
        </w:rPr>
        <w:t>.</w:t>
      </w:r>
      <w:r w:rsidR="00933058" w:rsidRPr="007C10D2">
        <w:rPr>
          <w:rFonts w:ascii="Times New Roman" w:hAnsi="Times New Roman" w:cs="Times New Roman"/>
        </w:rPr>
        <w:t xml:space="preserve"> Zarząd zatwierdza informacje podlegające ogłoszeniu</w:t>
      </w:r>
      <w:r w:rsidR="00181005" w:rsidRPr="007C10D2">
        <w:rPr>
          <w:rFonts w:ascii="Times New Roman" w:hAnsi="Times New Roman" w:cs="Times New Roman"/>
        </w:rPr>
        <w:t xml:space="preserve"> z zastrzeżeniem ust.2</w:t>
      </w:r>
      <w:r w:rsidR="00933058" w:rsidRPr="007C10D2">
        <w:rPr>
          <w:rFonts w:ascii="Times New Roman" w:hAnsi="Times New Roman" w:cs="Times New Roman"/>
        </w:rPr>
        <w:t>.</w:t>
      </w:r>
      <w:r w:rsidRPr="007C10D2">
        <w:rPr>
          <w:rFonts w:ascii="Times New Roman" w:hAnsi="Times New Roman" w:cs="Times New Roman"/>
        </w:rPr>
        <w:t xml:space="preserve"> Bezpośredni nadzór nad opracowaniem i realizacją </w:t>
      </w:r>
      <w:r w:rsidR="008113A2" w:rsidRPr="007C10D2">
        <w:rPr>
          <w:rFonts w:ascii="Times New Roman" w:hAnsi="Times New Roman" w:cs="Times New Roman"/>
        </w:rPr>
        <w:t>Polityki</w:t>
      </w:r>
      <w:r w:rsidR="004956B5" w:rsidRPr="007C10D2">
        <w:rPr>
          <w:rFonts w:ascii="Times New Roman" w:hAnsi="Times New Roman" w:cs="Times New Roman"/>
        </w:rPr>
        <w:t xml:space="preserve"> informacyjnej</w:t>
      </w:r>
      <w:r w:rsidRPr="007C10D2">
        <w:rPr>
          <w:rFonts w:ascii="Times New Roman" w:hAnsi="Times New Roman" w:cs="Times New Roman"/>
        </w:rPr>
        <w:t xml:space="preserve"> sprawuje </w:t>
      </w:r>
      <w:r w:rsidR="004956B5" w:rsidRPr="007C10D2">
        <w:rPr>
          <w:rFonts w:ascii="Times New Roman" w:hAnsi="Times New Roman" w:cs="Times New Roman"/>
        </w:rPr>
        <w:t>Prezes Zarządu</w:t>
      </w:r>
      <w:r w:rsidR="007179AB" w:rsidRPr="007C10D2">
        <w:rPr>
          <w:rFonts w:ascii="Times New Roman" w:hAnsi="Times New Roman" w:cs="Times New Roman"/>
        </w:rPr>
        <w:t xml:space="preserve"> </w:t>
      </w:r>
      <w:r w:rsidR="00B92FDF" w:rsidRPr="007C10D2">
        <w:rPr>
          <w:rFonts w:ascii="Times New Roman" w:hAnsi="Times New Roman" w:cs="Times New Roman"/>
        </w:rPr>
        <w:t xml:space="preserve"> sprawujący nadzór nad zarządzaniem ryzykiem istotnym</w:t>
      </w:r>
      <w:r w:rsidRPr="007C10D2">
        <w:rPr>
          <w:rFonts w:ascii="Times New Roman" w:hAnsi="Times New Roman" w:cs="Times New Roman"/>
        </w:rPr>
        <w:t xml:space="preserve">. </w:t>
      </w:r>
    </w:p>
    <w:p w14:paraId="406F2710" w14:textId="77777777" w:rsidR="007B53E3" w:rsidRPr="007C10D2" w:rsidRDefault="007B53E3">
      <w:pPr>
        <w:numPr>
          <w:ilvl w:val="0"/>
          <w:numId w:val="5"/>
        </w:numPr>
        <w:spacing w:line="360" w:lineRule="auto"/>
        <w:rPr>
          <w:rFonts w:ascii="Times New Roman" w:hAnsi="Times New Roman" w:cs="Times New Roman"/>
        </w:rPr>
      </w:pPr>
      <w:r w:rsidRPr="007C10D2">
        <w:rPr>
          <w:rFonts w:ascii="Times New Roman" w:hAnsi="Times New Roman" w:cs="Times New Roman"/>
        </w:rPr>
        <w:t xml:space="preserve">Zespół zarządzania </w:t>
      </w:r>
      <w:proofErr w:type="spellStart"/>
      <w:r w:rsidRPr="007C10D2">
        <w:rPr>
          <w:rFonts w:ascii="Times New Roman" w:hAnsi="Times New Roman" w:cs="Times New Roman"/>
        </w:rPr>
        <w:t>ryzykami</w:t>
      </w:r>
      <w:proofErr w:type="spellEnd"/>
      <w:r w:rsidRPr="007C10D2">
        <w:rPr>
          <w:rFonts w:ascii="Times New Roman" w:hAnsi="Times New Roman" w:cs="Times New Roman"/>
        </w:rPr>
        <w:t xml:space="preserve"> i analiz, odpowiedzialny za opracowanie</w:t>
      </w:r>
      <w:r w:rsidR="004956B5" w:rsidRPr="007C10D2">
        <w:rPr>
          <w:rFonts w:ascii="Times New Roman" w:hAnsi="Times New Roman" w:cs="Times New Roman"/>
        </w:rPr>
        <w:t xml:space="preserve"> </w:t>
      </w:r>
      <w:r w:rsidR="008113A2" w:rsidRPr="007C10D2">
        <w:rPr>
          <w:rFonts w:ascii="Times New Roman" w:hAnsi="Times New Roman" w:cs="Times New Roman"/>
        </w:rPr>
        <w:t>Polityki</w:t>
      </w:r>
      <w:r w:rsidRPr="007C10D2">
        <w:rPr>
          <w:rFonts w:ascii="Times New Roman" w:hAnsi="Times New Roman" w:cs="Times New Roman"/>
        </w:rPr>
        <w:t xml:space="preserve"> informacyjnej</w:t>
      </w:r>
      <w:r w:rsidR="004956B5" w:rsidRPr="007C10D2">
        <w:rPr>
          <w:rFonts w:ascii="Times New Roman" w:hAnsi="Times New Roman" w:cs="Times New Roman"/>
        </w:rPr>
        <w:t xml:space="preserve"> oraz</w:t>
      </w:r>
      <w:r w:rsidRPr="007C10D2">
        <w:rPr>
          <w:rFonts w:ascii="Times New Roman" w:hAnsi="Times New Roman" w:cs="Times New Roman"/>
        </w:rPr>
        <w:t xml:space="preserve"> realizację zadań związanych z ujawnianiem informacji. </w:t>
      </w:r>
    </w:p>
    <w:p w14:paraId="033A5B85" w14:textId="4A4A2B37" w:rsidR="007B53E3" w:rsidRPr="007C10D2" w:rsidRDefault="00805B63">
      <w:pPr>
        <w:numPr>
          <w:ilvl w:val="0"/>
          <w:numId w:val="5"/>
        </w:numPr>
        <w:spacing w:line="360" w:lineRule="auto"/>
        <w:rPr>
          <w:rFonts w:ascii="Times New Roman" w:hAnsi="Times New Roman" w:cs="Times New Roman"/>
        </w:rPr>
      </w:pPr>
      <w:r w:rsidRPr="007C10D2">
        <w:rPr>
          <w:rFonts w:ascii="Times New Roman" w:hAnsi="Times New Roman" w:cs="Times New Roman"/>
        </w:rPr>
        <w:t>Stanowisko ds. zgodności</w:t>
      </w:r>
      <w:r w:rsidR="007B53E3" w:rsidRPr="007C10D2">
        <w:rPr>
          <w:rFonts w:ascii="Times New Roman" w:hAnsi="Times New Roman" w:cs="Times New Roman"/>
        </w:rPr>
        <w:t xml:space="preserve">, przeprowadzające weryfikację </w:t>
      </w:r>
      <w:r w:rsidR="00AB0340" w:rsidRPr="007C10D2">
        <w:rPr>
          <w:rFonts w:ascii="Times New Roman" w:hAnsi="Times New Roman" w:cs="Times New Roman"/>
        </w:rPr>
        <w:t xml:space="preserve">zmian w Polityce informacyjnej oraz </w:t>
      </w:r>
      <w:r w:rsidR="00181005" w:rsidRPr="007C10D2">
        <w:rPr>
          <w:rFonts w:ascii="Times New Roman" w:hAnsi="Times New Roman" w:cs="Times New Roman"/>
        </w:rPr>
        <w:t xml:space="preserve">kontrolę </w:t>
      </w:r>
      <w:r w:rsidR="00AB0340" w:rsidRPr="007C10D2">
        <w:rPr>
          <w:rFonts w:ascii="Times New Roman" w:hAnsi="Times New Roman" w:cs="Times New Roman"/>
        </w:rPr>
        <w:t>informac</w:t>
      </w:r>
      <w:r w:rsidR="007B53E3" w:rsidRPr="007C10D2">
        <w:rPr>
          <w:rFonts w:ascii="Times New Roman" w:hAnsi="Times New Roman" w:cs="Times New Roman"/>
        </w:rPr>
        <w:t xml:space="preserve">ji podlegających ujawnieniu na podstawie zapisów niniejszej </w:t>
      </w:r>
      <w:r w:rsidR="008113A2" w:rsidRPr="007C10D2">
        <w:rPr>
          <w:rFonts w:ascii="Times New Roman" w:hAnsi="Times New Roman" w:cs="Times New Roman"/>
        </w:rPr>
        <w:t>Polityki</w:t>
      </w:r>
      <w:r w:rsidR="007B53E3" w:rsidRPr="007C10D2">
        <w:rPr>
          <w:rFonts w:ascii="Times New Roman" w:hAnsi="Times New Roman" w:cs="Times New Roman"/>
        </w:rPr>
        <w:t>.</w:t>
      </w:r>
    </w:p>
    <w:p w14:paraId="70D5B476" w14:textId="77777777" w:rsidR="007B53E3" w:rsidRPr="007C10D2" w:rsidRDefault="007B53E3">
      <w:pPr>
        <w:numPr>
          <w:ilvl w:val="0"/>
          <w:numId w:val="5"/>
        </w:numPr>
        <w:spacing w:line="360" w:lineRule="auto"/>
        <w:rPr>
          <w:rFonts w:ascii="Times New Roman" w:hAnsi="Times New Roman" w:cs="Times New Roman"/>
        </w:rPr>
      </w:pPr>
      <w:r w:rsidRPr="007C10D2">
        <w:rPr>
          <w:rFonts w:ascii="Times New Roman" w:hAnsi="Times New Roman" w:cs="Times New Roman"/>
        </w:rPr>
        <w:t>Pozostałe jednostki i komórki organizacyjne</w:t>
      </w:r>
      <w:r w:rsidR="006B5A5D" w:rsidRPr="007C10D2">
        <w:rPr>
          <w:rFonts w:ascii="Times New Roman" w:hAnsi="Times New Roman" w:cs="Times New Roman"/>
        </w:rPr>
        <w:t>,</w:t>
      </w:r>
      <w:r w:rsidRPr="007C10D2">
        <w:rPr>
          <w:rFonts w:ascii="Times New Roman" w:hAnsi="Times New Roman" w:cs="Times New Roman"/>
        </w:rPr>
        <w:t xml:space="preserve"> zobowiązane do przekazywania informacji podlegających ujawnieniu.</w:t>
      </w:r>
    </w:p>
    <w:p w14:paraId="51790715" w14:textId="77777777" w:rsidR="007B53E3" w:rsidRPr="007C10D2" w:rsidRDefault="007B53E3">
      <w:pPr>
        <w:spacing w:line="360" w:lineRule="auto"/>
        <w:ind w:left="360"/>
        <w:rPr>
          <w:rFonts w:ascii="Times New Roman" w:hAnsi="Times New Roman" w:cs="Times New Roman"/>
        </w:rPr>
      </w:pPr>
    </w:p>
    <w:p w14:paraId="2B1196E8" w14:textId="7C8062A3" w:rsidR="007B53E3" w:rsidRPr="007C10D2" w:rsidRDefault="007B53E3">
      <w:pPr>
        <w:spacing w:line="360" w:lineRule="auto"/>
        <w:ind w:left="360"/>
        <w:jc w:val="center"/>
        <w:rPr>
          <w:rFonts w:ascii="Times New Roman" w:hAnsi="Times New Roman" w:cs="Times New Roman"/>
        </w:rPr>
      </w:pPr>
      <w:r w:rsidRPr="007C10D2">
        <w:rPr>
          <w:rFonts w:ascii="Times New Roman" w:hAnsi="Times New Roman" w:cs="Times New Roman"/>
        </w:rPr>
        <w:t>§ 1</w:t>
      </w:r>
      <w:r w:rsidR="00016732" w:rsidRPr="007C10D2">
        <w:rPr>
          <w:rFonts w:ascii="Times New Roman" w:hAnsi="Times New Roman" w:cs="Times New Roman"/>
        </w:rPr>
        <w:t>2</w:t>
      </w:r>
    </w:p>
    <w:p w14:paraId="5CD719CC" w14:textId="57E1EE8E" w:rsidR="007B53E3" w:rsidRPr="007C10D2" w:rsidRDefault="004956B5">
      <w:pPr>
        <w:spacing w:line="360" w:lineRule="auto"/>
        <w:ind w:left="360"/>
        <w:rPr>
          <w:rFonts w:ascii="Times New Roman" w:hAnsi="Times New Roman" w:cs="Times New Roman"/>
        </w:rPr>
      </w:pPr>
      <w:r w:rsidRPr="007C10D2">
        <w:rPr>
          <w:rFonts w:ascii="Times New Roman" w:hAnsi="Times New Roman" w:cs="Times New Roman"/>
        </w:rPr>
        <w:t xml:space="preserve">Realizacja niniejszej </w:t>
      </w:r>
      <w:r w:rsidR="008113A2" w:rsidRPr="007C10D2">
        <w:rPr>
          <w:rFonts w:ascii="Times New Roman" w:hAnsi="Times New Roman" w:cs="Times New Roman"/>
        </w:rPr>
        <w:t>Polityki</w:t>
      </w:r>
      <w:r w:rsidR="007B53E3" w:rsidRPr="007C10D2">
        <w:rPr>
          <w:rFonts w:ascii="Times New Roman" w:hAnsi="Times New Roman" w:cs="Times New Roman"/>
        </w:rPr>
        <w:t xml:space="preserve"> poddawana jest okresowo</w:t>
      </w:r>
      <w:r w:rsidR="00B92FDF" w:rsidRPr="007C10D2">
        <w:rPr>
          <w:rFonts w:ascii="Times New Roman" w:hAnsi="Times New Roman" w:cs="Times New Roman"/>
        </w:rPr>
        <w:t xml:space="preserve"> kontroli wewnętrznej zgodnie Matrycą Funkcji Kontroli oraz</w:t>
      </w:r>
      <w:r w:rsidR="007B53E3" w:rsidRPr="007C10D2">
        <w:rPr>
          <w:rFonts w:ascii="Times New Roman" w:hAnsi="Times New Roman" w:cs="Times New Roman"/>
        </w:rPr>
        <w:t xml:space="preserve"> audytowi wewnętrznemu</w:t>
      </w:r>
      <w:r w:rsidR="007177EB" w:rsidRPr="007C10D2">
        <w:rPr>
          <w:rFonts w:ascii="Times New Roman" w:hAnsi="Times New Roman" w:cs="Times New Roman"/>
        </w:rPr>
        <w:t>, sprawowanemu przez SO</w:t>
      </w:r>
      <w:r w:rsidR="008E17C8" w:rsidRPr="007C10D2">
        <w:rPr>
          <w:rFonts w:ascii="Times New Roman" w:hAnsi="Times New Roman" w:cs="Times New Roman"/>
        </w:rPr>
        <w:t>I</w:t>
      </w:r>
      <w:r w:rsidR="007B53E3" w:rsidRPr="007C10D2">
        <w:rPr>
          <w:rFonts w:ascii="Times New Roman" w:hAnsi="Times New Roman" w:cs="Times New Roman"/>
        </w:rPr>
        <w:t>.</w:t>
      </w:r>
    </w:p>
    <w:p w14:paraId="6FA849EB" w14:textId="77777777" w:rsidR="007B53E3" w:rsidRPr="007C10D2" w:rsidRDefault="007B53E3">
      <w:pPr>
        <w:spacing w:line="360" w:lineRule="auto"/>
        <w:ind w:left="360"/>
        <w:jc w:val="center"/>
        <w:rPr>
          <w:rFonts w:ascii="Times New Roman" w:hAnsi="Times New Roman" w:cs="Times New Roman"/>
        </w:rPr>
      </w:pPr>
    </w:p>
    <w:p w14:paraId="2628A892" w14:textId="77777777" w:rsidR="007B53E3" w:rsidRPr="007C10D2" w:rsidRDefault="007B53E3">
      <w:pPr>
        <w:spacing w:line="360" w:lineRule="auto"/>
        <w:ind w:left="360"/>
        <w:jc w:val="center"/>
        <w:rPr>
          <w:rFonts w:ascii="Times New Roman" w:hAnsi="Times New Roman" w:cs="Times New Roman"/>
        </w:rPr>
      </w:pPr>
    </w:p>
    <w:p w14:paraId="570E635C" w14:textId="77777777" w:rsidR="00B92FDF" w:rsidRPr="007C10D2" w:rsidRDefault="00B92FDF">
      <w:pPr>
        <w:spacing w:line="360" w:lineRule="auto"/>
        <w:ind w:left="360"/>
        <w:jc w:val="center"/>
        <w:rPr>
          <w:rFonts w:ascii="Times New Roman" w:hAnsi="Times New Roman" w:cs="Times New Roman"/>
        </w:rPr>
      </w:pPr>
    </w:p>
    <w:p w14:paraId="5D37C927" w14:textId="3D996F34" w:rsidR="007B53E3" w:rsidRPr="007C10D2" w:rsidRDefault="00181005">
      <w:pPr>
        <w:spacing w:line="360" w:lineRule="auto"/>
        <w:ind w:left="360"/>
        <w:jc w:val="center"/>
        <w:rPr>
          <w:rFonts w:ascii="Times New Roman" w:hAnsi="Times New Roman" w:cs="Times New Roman"/>
          <w:b/>
          <w:bCs/>
        </w:rPr>
      </w:pPr>
      <w:r w:rsidRPr="007C10D2">
        <w:rPr>
          <w:rFonts w:ascii="Times New Roman" w:hAnsi="Times New Roman" w:cs="Times New Roman"/>
          <w:b/>
          <w:bCs/>
        </w:rPr>
        <w:lastRenderedPageBreak/>
        <w:t>5</w:t>
      </w:r>
      <w:r w:rsidR="007B53E3" w:rsidRPr="007C10D2">
        <w:rPr>
          <w:rFonts w:ascii="Times New Roman" w:hAnsi="Times New Roman" w:cs="Times New Roman"/>
          <w:b/>
          <w:bCs/>
        </w:rPr>
        <w:t>. Postanowienia końcowe</w:t>
      </w:r>
    </w:p>
    <w:p w14:paraId="402CCCE3" w14:textId="77777777" w:rsidR="007B53E3" w:rsidRPr="007C10D2" w:rsidRDefault="007B53E3">
      <w:pPr>
        <w:spacing w:line="360" w:lineRule="auto"/>
        <w:ind w:left="360"/>
        <w:jc w:val="center"/>
        <w:rPr>
          <w:rFonts w:ascii="Times New Roman" w:hAnsi="Times New Roman" w:cs="Times New Roman"/>
        </w:rPr>
      </w:pPr>
    </w:p>
    <w:p w14:paraId="11BCF3A3" w14:textId="2CF64673" w:rsidR="007B53E3" w:rsidRPr="007C10D2" w:rsidRDefault="007B53E3">
      <w:pPr>
        <w:spacing w:line="360" w:lineRule="auto"/>
        <w:ind w:left="360"/>
        <w:jc w:val="center"/>
        <w:rPr>
          <w:rFonts w:ascii="Times New Roman" w:hAnsi="Times New Roman" w:cs="Times New Roman"/>
        </w:rPr>
      </w:pPr>
      <w:r w:rsidRPr="007C10D2">
        <w:rPr>
          <w:rFonts w:ascii="Times New Roman" w:hAnsi="Times New Roman" w:cs="Times New Roman"/>
        </w:rPr>
        <w:t>§ 1</w:t>
      </w:r>
      <w:r w:rsidR="00016732" w:rsidRPr="007C10D2">
        <w:rPr>
          <w:rFonts w:ascii="Times New Roman" w:hAnsi="Times New Roman" w:cs="Times New Roman"/>
        </w:rPr>
        <w:t>3</w:t>
      </w:r>
    </w:p>
    <w:p w14:paraId="18DB7F85" w14:textId="2498392B" w:rsidR="009472F1" w:rsidRPr="007C10D2" w:rsidRDefault="009472F1" w:rsidP="00B06E6D">
      <w:pPr>
        <w:numPr>
          <w:ilvl w:val="0"/>
          <w:numId w:val="25"/>
        </w:numPr>
        <w:spacing w:line="360" w:lineRule="auto"/>
        <w:rPr>
          <w:rFonts w:ascii="Times New Roman" w:hAnsi="Times New Roman" w:cs="Times New Roman"/>
        </w:rPr>
      </w:pPr>
      <w:r w:rsidRPr="007C10D2">
        <w:rPr>
          <w:rFonts w:ascii="Times New Roman" w:hAnsi="Times New Roman" w:cs="Times New Roman"/>
        </w:rPr>
        <w:t xml:space="preserve">Niniejsza </w:t>
      </w:r>
      <w:r w:rsidR="008113A2" w:rsidRPr="007C10D2">
        <w:rPr>
          <w:rFonts w:ascii="Times New Roman" w:hAnsi="Times New Roman" w:cs="Times New Roman"/>
        </w:rPr>
        <w:t>Polityka</w:t>
      </w:r>
      <w:r w:rsidRPr="007C10D2">
        <w:rPr>
          <w:rFonts w:ascii="Times New Roman" w:hAnsi="Times New Roman" w:cs="Times New Roman"/>
        </w:rPr>
        <w:t xml:space="preserve"> podlega ocenie przez Zarząd</w:t>
      </w:r>
      <w:r w:rsidR="00AB0340" w:rsidRPr="007C10D2">
        <w:rPr>
          <w:rFonts w:ascii="Times New Roman" w:hAnsi="Times New Roman" w:cs="Times New Roman"/>
        </w:rPr>
        <w:t xml:space="preserve"> i Radę Nadzorczą</w:t>
      </w:r>
      <w:r w:rsidRPr="007C10D2">
        <w:rPr>
          <w:rFonts w:ascii="Times New Roman" w:hAnsi="Times New Roman" w:cs="Times New Roman"/>
        </w:rPr>
        <w:t xml:space="preserve"> pod względem:</w:t>
      </w:r>
    </w:p>
    <w:p w14:paraId="37B7D9D9" w14:textId="77777777" w:rsidR="009472F1" w:rsidRPr="007C10D2" w:rsidRDefault="009472F1" w:rsidP="00B06E6D">
      <w:pPr>
        <w:numPr>
          <w:ilvl w:val="1"/>
          <w:numId w:val="25"/>
        </w:numPr>
        <w:spacing w:line="360" w:lineRule="auto"/>
        <w:rPr>
          <w:rFonts w:ascii="Times New Roman" w:hAnsi="Times New Roman" w:cs="Times New Roman"/>
        </w:rPr>
      </w:pPr>
      <w:r w:rsidRPr="007C10D2">
        <w:rPr>
          <w:rFonts w:ascii="Times New Roman" w:hAnsi="Times New Roman" w:cs="Times New Roman"/>
        </w:rPr>
        <w:t>Adekwatności ujawnianych informacji,</w:t>
      </w:r>
    </w:p>
    <w:p w14:paraId="232D2D14" w14:textId="77777777" w:rsidR="009472F1" w:rsidRPr="007C10D2" w:rsidRDefault="009472F1" w:rsidP="00B06E6D">
      <w:pPr>
        <w:numPr>
          <w:ilvl w:val="1"/>
          <w:numId w:val="25"/>
        </w:numPr>
        <w:spacing w:line="360" w:lineRule="auto"/>
        <w:rPr>
          <w:rFonts w:ascii="Times New Roman" w:hAnsi="Times New Roman" w:cs="Times New Roman"/>
        </w:rPr>
      </w:pPr>
      <w:r w:rsidRPr="007C10D2">
        <w:rPr>
          <w:rFonts w:ascii="Times New Roman" w:hAnsi="Times New Roman" w:cs="Times New Roman"/>
        </w:rPr>
        <w:t>Istotności ujawnianych informacji,</w:t>
      </w:r>
    </w:p>
    <w:p w14:paraId="17272A8A" w14:textId="77777777" w:rsidR="009472F1" w:rsidRPr="007C10D2" w:rsidRDefault="009472F1" w:rsidP="00B06E6D">
      <w:pPr>
        <w:numPr>
          <w:ilvl w:val="1"/>
          <w:numId w:val="25"/>
        </w:numPr>
        <w:spacing w:line="360" w:lineRule="auto"/>
        <w:rPr>
          <w:rFonts w:ascii="Times New Roman" w:hAnsi="Times New Roman" w:cs="Times New Roman"/>
        </w:rPr>
      </w:pPr>
      <w:r w:rsidRPr="007C10D2">
        <w:rPr>
          <w:rFonts w:ascii="Times New Roman" w:hAnsi="Times New Roman" w:cs="Times New Roman"/>
        </w:rPr>
        <w:t>Zachowania poufności,</w:t>
      </w:r>
    </w:p>
    <w:p w14:paraId="5497B48B" w14:textId="77777777" w:rsidR="009472F1" w:rsidRPr="007C10D2" w:rsidRDefault="009472F1" w:rsidP="00B06E6D">
      <w:pPr>
        <w:numPr>
          <w:ilvl w:val="1"/>
          <w:numId w:val="25"/>
        </w:numPr>
        <w:spacing w:line="360" w:lineRule="auto"/>
        <w:rPr>
          <w:rFonts w:ascii="Times New Roman" w:hAnsi="Times New Roman" w:cs="Times New Roman"/>
        </w:rPr>
      </w:pPr>
      <w:r w:rsidRPr="007C10D2">
        <w:rPr>
          <w:rFonts w:ascii="Times New Roman" w:hAnsi="Times New Roman" w:cs="Times New Roman"/>
        </w:rPr>
        <w:t>Częstotliwości ujawniania,</w:t>
      </w:r>
    </w:p>
    <w:p w14:paraId="5AF60C1D" w14:textId="77777777" w:rsidR="009472F1" w:rsidRPr="007C10D2" w:rsidRDefault="009472F1" w:rsidP="00B06E6D">
      <w:pPr>
        <w:numPr>
          <w:ilvl w:val="1"/>
          <w:numId w:val="25"/>
        </w:numPr>
        <w:spacing w:line="360" w:lineRule="auto"/>
        <w:rPr>
          <w:rFonts w:ascii="Times New Roman" w:hAnsi="Times New Roman" w:cs="Times New Roman"/>
        </w:rPr>
      </w:pPr>
      <w:r w:rsidRPr="007C10D2">
        <w:rPr>
          <w:rFonts w:ascii="Times New Roman" w:hAnsi="Times New Roman" w:cs="Times New Roman"/>
        </w:rPr>
        <w:t>Kompletności,</w:t>
      </w:r>
    </w:p>
    <w:p w14:paraId="2C3BA9A6" w14:textId="77777777" w:rsidR="009472F1" w:rsidRPr="007C10D2" w:rsidRDefault="009472F1" w:rsidP="00B06E6D">
      <w:pPr>
        <w:numPr>
          <w:ilvl w:val="1"/>
          <w:numId w:val="25"/>
        </w:numPr>
        <w:spacing w:line="360" w:lineRule="auto"/>
        <w:rPr>
          <w:rFonts w:ascii="Times New Roman" w:hAnsi="Times New Roman" w:cs="Times New Roman"/>
        </w:rPr>
      </w:pPr>
      <w:r w:rsidRPr="007C10D2">
        <w:rPr>
          <w:rFonts w:ascii="Times New Roman" w:hAnsi="Times New Roman" w:cs="Times New Roman"/>
        </w:rPr>
        <w:t>Dostosowania do profilu ryzyka</w:t>
      </w:r>
    </w:p>
    <w:p w14:paraId="07E81B7A" w14:textId="6F4329FC" w:rsidR="004035E1" w:rsidRPr="007C10D2" w:rsidRDefault="008113A2" w:rsidP="00B06E6D">
      <w:pPr>
        <w:numPr>
          <w:ilvl w:val="0"/>
          <w:numId w:val="25"/>
        </w:numPr>
        <w:spacing w:line="360" w:lineRule="auto"/>
        <w:rPr>
          <w:rFonts w:ascii="Times New Roman" w:hAnsi="Times New Roman" w:cs="Times New Roman"/>
        </w:rPr>
        <w:sectPr w:rsidR="004035E1" w:rsidRPr="007C10D2">
          <w:pgSz w:w="11906" w:h="16838"/>
          <w:pgMar w:top="1134" w:right="1134" w:bottom="1134" w:left="1134" w:header="284" w:footer="680" w:gutter="0"/>
          <w:cols w:space="708"/>
          <w:titlePg/>
          <w:docGrid w:linePitch="360"/>
        </w:sectPr>
      </w:pPr>
      <w:r w:rsidRPr="007C10D2">
        <w:rPr>
          <w:rFonts w:ascii="Times New Roman" w:hAnsi="Times New Roman" w:cs="Times New Roman"/>
        </w:rPr>
        <w:t>Polityka</w:t>
      </w:r>
      <w:r w:rsidR="007B53E3" w:rsidRPr="007C10D2">
        <w:rPr>
          <w:rFonts w:ascii="Times New Roman" w:hAnsi="Times New Roman" w:cs="Times New Roman"/>
        </w:rPr>
        <w:t xml:space="preserve"> wchodzi w życie po podjęciu uchwały przez Zarząd</w:t>
      </w:r>
      <w:r w:rsidR="00AB0340" w:rsidRPr="007C10D2">
        <w:rPr>
          <w:rFonts w:ascii="Times New Roman" w:hAnsi="Times New Roman" w:cs="Times New Roman"/>
        </w:rPr>
        <w:t xml:space="preserve"> i Radę Nadzorczą</w:t>
      </w:r>
      <w:r w:rsidR="007177EB" w:rsidRPr="007C10D2">
        <w:rPr>
          <w:rFonts w:ascii="Times New Roman" w:hAnsi="Times New Roman" w:cs="Times New Roman"/>
        </w:rPr>
        <w:t xml:space="preserve"> </w:t>
      </w:r>
      <w:r w:rsidR="009C7F3B">
        <w:rPr>
          <w:rFonts w:ascii="Times New Roman" w:hAnsi="Times New Roman" w:cs="Times New Roman"/>
        </w:rPr>
        <w:t>.</w:t>
      </w:r>
    </w:p>
    <w:p w14:paraId="6E72C673" w14:textId="77777777" w:rsidR="007B53E3" w:rsidRPr="007C10D2" w:rsidRDefault="007B53E3">
      <w:pPr>
        <w:spacing w:line="360" w:lineRule="auto"/>
        <w:jc w:val="right"/>
        <w:rPr>
          <w:rFonts w:ascii="Times New Roman" w:hAnsi="Times New Roman" w:cs="Times New Roman"/>
        </w:rPr>
      </w:pPr>
    </w:p>
    <w:p w14:paraId="44340D48" w14:textId="77777777" w:rsidR="007B53E3" w:rsidRPr="007C10D2" w:rsidRDefault="007B53E3">
      <w:pPr>
        <w:spacing w:line="360" w:lineRule="auto"/>
        <w:jc w:val="right"/>
        <w:rPr>
          <w:rFonts w:ascii="Times New Roman" w:hAnsi="Times New Roman" w:cs="Times New Roman"/>
        </w:rPr>
      </w:pPr>
      <w:r w:rsidRPr="007C10D2">
        <w:rPr>
          <w:rFonts w:ascii="Times New Roman" w:hAnsi="Times New Roman" w:cs="Times New Roman"/>
        </w:rPr>
        <w:t xml:space="preserve">Załącznik nr </w:t>
      </w:r>
      <w:r w:rsidR="001B7D86" w:rsidRPr="007C10D2">
        <w:rPr>
          <w:rFonts w:ascii="Times New Roman" w:hAnsi="Times New Roman" w:cs="Times New Roman"/>
        </w:rPr>
        <w:t>1</w:t>
      </w:r>
    </w:p>
    <w:p w14:paraId="1BEE6564" w14:textId="77777777" w:rsidR="007B53E3" w:rsidRPr="007C10D2" w:rsidRDefault="007B53E3">
      <w:pPr>
        <w:pStyle w:val="Nagwek1"/>
        <w:rPr>
          <w:rFonts w:ascii="Times New Roman" w:hAnsi="Times New Roman"/>
          <w:sz w:val="21"/>
          <w:szCs w:val="21"/>
        </w:rPr>
      </w:pPr>
      <w:r w:rsidRPr="007C10D2">
        <w:rPr>
          <w:rFonts w:ascii="Times New Roman" w:hAnsi="Times New Roman"/>
          <w:sz w:val="21"/>
          <w:szCs w:val="21"/>
        </w:rPr>
        <w:t xml:space="preserve">Zestawienie zakresu informacji podlegających ujawnieniom </w:t>
      </w:r>
    </w:p>
    <w:p w14:paraId="23B465D3" w14:textId="77777777" w:rsidR="007B53E3" w:rsidRPr="007C10D2" w:rsidRDefault="007B53E3">
      <w:pPr>
        <w:pStyle w:val="Nagwek1"/>
        <w:rPr>
          <w:rFonts w:ascii="Times New Roman" w:hAnsi="Times New Roman"/>
          <w:sz w:val="21"/>
          <w:szCs w:val="21"/>
        </w:rPr>
      </w:pPr>
      <w:r w:rsidRPr="007C10D2">
        <w:rPr>
          <w:rFonts w:ascii="Times New Roman" w:hAnsi="Times New Roman"/>
          <w:sz w:val="21"/>
          <w:szCs w:val="21"/>
        </w:rPr>
        <w:t>wraz z przypisaniem komórek</w:t>
      </w:r>
    </w:p>
    <w:p w14:paraId="5AB327D7" w14:textId="77777777" w:rsidR="007B53E3" w:rsidRPr="007C10D2" w:rsidRDefault="007B53E3">
      <w:pPr>
        <w:pStyle w:val="Nagwek1"/>
        <w:rPr>
          <w:rFonts w:ascii="Times New Roman" w:hAnsi="Times New Roman"/>
          <w:sz w:val="21"/>
          <w:szCs w:val="21"/>
        </w:rPr>
      </w:pPr>
      <w:r w:rsidRPr="007C10D2">
        <w:rPr>
          <w:rFonts w:ascii="Times New Roman" w:hAnsi="Times New Roman"/>
          <w:sz w:val="21"/>
          <w:szCs w:val="21"/>
        </w:rPr>
        <w:t>odpowiedzialnych za ich przygotowanie</w:t>
      </w:r>
    </w:p>
    <w:p w14:paraId="260C5B4B" w14:textId="77777777" w:rsidR="007B53E3" w:rsidRPr="007C10D2" w:rsidRDefault="007B53E3">
      <w:pPr>
        <w:rPr>
          <w:rFonts w:ascii="Times New Roman" w:hAnsi="Times New Roman" w:cs="Times New Roman"/>
          <w:sz w:val="21"/>
          <w:szCs w:val="21"/>
        </w:rPr>
      </w:pPr>
    </w:p>
    <w:p w14:paraId="43170D36" w14:textId="77777777" w:rsidR="007B53E3" w:rsidRPr="007C10D2" w:rsidRDefault="007B53E3">
      <w:pPr>
        <w:rPr>
          <w:rFonts w:ascii="Times New Roman" w:hAnsi="Times New Roman" w:cs="Times New Roman"/>
          <w:sz w:val="21"/>
          <w:szCs w:val="21"/>
        </w:rPr>
      </w:pPr>
    </w:p>
    <w:tbl>
      <w:tblPr>
        <w:tblW w:w="14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7938"/>
        <w:gridCol w:w="1843"/>
        <w:gridCol w:w="1843"/>
        <w:gridCol w:w="1843"/>
      </w:tblGrid>
      <w:tr w:rsidR="007C10D2" w:rsidRPr="007C10D2" w14:paraId="3A8C6D44" w14:textId="77777777" w:rsidTr="005A7812">
        <w:tc>
          <w:tcPr>
            <w:tcW w:w="637" w:type="dxa"/>
          </w:tcPr>
          <w:p w14:paraId="66629699" w14:textId="77777777" w:rsidR="008530E8" w:rsidRPr="007C10D2" w:rsidRDefault="008530E8" w:rsidP="005A7812">
            <w:pPr>
              <w:pStyle w:val="Nagwek2"/>
              <w:numPr>
                <w:ilvl w:val="0"/>
                <w:numId w:val="0"/>
              </w:numPr>
              <w:rPr>
                <w:rFonts w:ascii="Times New Roman" w:hAnsi="Times New Roman" w:cs="Times New Roman"/>
                <w:sz w:val="22"/>
                <w:szCs w:val="22"/>
              </w:rPr>
            </w:pPr>
            <w:r w:rsidRPr="007C10D2">
              <w:rPr>
                <w:rFonts w:ascii="Times New Roman" w:hAnsi="Times New Roman" w:cs="Times New Roman"/>
                <w:sz w:val="22"/>
                <w:szCs w:val="22"/>
              </w:rPr>
              <w:t>Nr</w:t>
            </w:r>
          </w:p>
        </w:tc>
        <w:tc>
          <w:tcPr>
            <w:tcW w:w="7938" w:type="dxa"/>
          </w:tcPr>
          <w:p w14:paraId="6F385E72" w14:textId="77777777" w:rsidR="008530E8" w:rsidRPr="007C10D2" w:rsidRDefault="008530E8" w:rsidP="005A7812">
            <w:pPr>
              <w:jc w:val="center"/>
              <w:rPr>
                <w:rFonts w:ascii="Times New Roman" w:hAnsi="Times New Roman" w:cs="Times New Roman"/>
                <w:b/>
                <w:sz w:val="22"/>
                <w:szCs w:val="22"/>
              </w:rPr>
            </w:pPr>
            <w:r w:rsidRPr="007C10D2">
              <w:rPr>
                <w:rFonts w:ascii="Times New Roman" w:hAnsi="Times New Roman" w:cs="Times New Roman"/>
                <w:b/>
                <w:sz w:val="22"/>
                <w:szCs w:val="22"/>
              </w:rPr>
              <w:t>Zagadnienie</w:t>
            </w:r>
          </w:p>
        </w:tc>
        <w:tc>
          <w:tcPr>
            <w:tcW w:w="1843" w:type="dxa"/>
          </w:tcPr>
          <w:p w14:paraId="608C26B6" w14:textId="77777777" w:rsidR="008530E8" w:rsidRPr="007C10D2" w:rsidRDefault="008530E8" w:rsidP="005A7812">
            <w:pPr>
              <w:jc w:val="center"/>
              <w:rPr>
                <w:rFonts w:ascii="Times New Roman" w:hAnsi="Times New Roman" w:cs="Times New Roman"/>
                <w:b/>
                <w:i/>
                <w:sz w:val="22"/>
                <w:szCs w:val="22"/>
              </w:rPr>
            </w:pPr>
            <w:r w:rsidRPr="007C10D2">
              <w:rPr>
                <w:rFonts w:ascii="Times New Roman" w:hAnsi="Times New Roman" w:cs="Times New Roman"/>
                <w:b/>
                <w:i/>
                <w:sz w:val="22"/>
                <w:szCs w:val="22"/>
              </w:rPr>
              <w:t>Komórka organizacyjna / osoba</w:t>
            </w:r>
          </w:p>
        </w:tc>
        <w:tc>
          <w:tcPr>
            <w:tcW w:w="1843" w:type="dxa"/>
          </w:tcPr>
          <w:p w14:paraId="7BB5F226" w14:textId="77777777" w:rsidR="008530E8" w:rsidRPr="007C10D2" w:rsidRDefault="008530E8" w:rsidP="005A7812">
            <w:pPr>
              <w:jc w:val="center"/>
              <w:rPr>
                <w:rFonts w:ascii="Times New Roman" w:hAnsi="Times New Roman" w:cs="Times New Roman"/>
                <w:b/>
                <w:i/>
                <w:sz w:val="22"/>
                <w:szCs w:val="22"/>
              </w:rPr>
            </w:pPr>
            <w:r w:rsidRPr="007C10D2">
              <w:rPr>
                <w:rFonts w:ascii="Times New Roman" w:hAnsi="Times New Roman" w:cs="Times New Roman"/>
                <w:b/>
                <w:i/>
                <w:sz w:val="22"/>
                <w:szCs w:val="22"/>
              </w:rPr>
              <w:t>Miejsce publikacji</w:t>
            </w:r>
          </w:p>
        </w:tc>
        <w:tc>
          <w:tcPr>
            <w:tcW w:w="1843" w:type="dxa"/>
          </w:tcPr>
          <w:p w14:paraId="0E179A70" w14:textId="77777777" w:rsidR="008530E8" w:rsidRPr="007C10D2" w:rsidRDefault="008530E8" w:rsidP="005A7812">
            <w:pPr>
              <w:jc w:val="center"/>
              <w:rPr>
                <w:rFonts w:ascii="Times New Roman" w:hAnsi="Times New Roman" w:cs="Times New Roman"/>
                <w:b/>
                <w:i/>
                <w:sz w:val="22"/>
                <w:szCs w:val="22"/>
              </w:rPr>
            </w:pPr>
            <w:r w:rsidRPr="007C10D2">
              <w:rPr>
                <w:rFonts w:ascii="Times New Roman" w:hAnsi="Times New Roman" w:cs="Times New Roman"/>
                <w:b/>
                <w:i/>
                <w:sz w:val="22"/>
                <w:szCs w:val="22"/>
              </w:rPr>
              <w:t>Termin publikacji</w:t>
            </w:r>
          </w:p>
        </w:tc>
      </w:tr>
      <w:tr w:rsidR="007C10D2" w:rsidRPr="007C10D2" w14:paraId="2D19797B" w14:textId="77777777" w:rsidTr="005A7812">
        <w:tc>
          <w:tcPr>
            <w:tcW w:w="637" w:type="dxa"/>
          </w:tcPr>
          <w:p w14:paraId="3848947B" w14:textId="77777777" w:rsidR="008530E8" w:rsidRPr="007C10D2" w:rsidRDefault="008530E8" w:rsidP="00B06E6D">
            <w:pPr>
              <w:numPr>
                <w:ilvl w:val="0"/>
                <w:numId w:val="15"/>
              </w:numPr>
              <w:jc w:val="center"/>
              <w:rPr>
                <w:rFonts w:ascii="Times New Roman" w:hAnsi="Times New Roman" w:cs="Times New Roman"/>
                <w:sz w:val="22"/>
                <w:szCs w:val="22"/>
              </w:rPr>
            </w:pPr>
          </w:p>
        </w:tc>
        <w:tc>
          <w:tcPr>
            <w:tcW w:w="7938" w:type="dxa"/>
          </w:tcPr>
          <w:p w14:paraId="53751729" w14:textId="77777777" w:rsidR="008530E8" w:rsidRPr="007C10D2" w:rsidRDefault="008530E8" w:rsidP="005A7812">
            <w:pPr>
              <w:rPr>
                <w:rFonts w:ascii="Times New Roman" w:hAnsi="Times New Roman" w:cs="Times New Roman"/>
                <w:sz w:val="22"/>
                <w:szCs w:val="22"/>
              </w:rPr>
            </w:pPr>
            <w:r w:rsidRPr="007C10D2">
              <w:rPr>
                <w:rFonts w:ascii="Times New Roman" w:hAnsi="Times New Roman" w:cs="Times New Roman"/>
                <w:sz w:val="22"/>
                <w:szCs w:val="22"/>
              </w:rPr>
              <w:t>Informacje ogólne o Banku</w:t>
            </w:r>
          </w:p>
          <w:p w14:paraId="4E066FFD" w14:textId="77777777" w:rsidR="008530E8" w:rsidRPr="007C10D2" w:rsidRDefault="008530E8" w:rsidP="005A7812">
            <w:pPr>
              <w:rPr>
                <w:rFonts w:ascii="Times New Roman" w:hAnsi="Times New Roman" w:cs="Times New Roman"/>
                <w:sz w:val="22"/>
                <w:szCs w:val="22"/>
              </w:rPr>
            </w:pPr>
            <w:r w:rsidRPr="007C10D2">
              <w:rPr>
                <w:rFonts w:ascii="Times New Roman" w:hAnsi="Times New Roman" w:cs="Times New Roman"/>
                <w:sz w:val="22"/>
                <w:szCs w:val="22"/>
              </w:rPr>
              <w:t>    </w:t>
            </w:r>
          </w:p>
          <w:p w14:paraId="68030C8F" w14:textId="77777777" w:rsidR="008530E8" w:rsidRPr="007C10D2" w:rsidRDefault="008530E8" w:rsidP="005A7812">
            <w:pPr>
              <w:rPr>
                <w:rFonts w:ascii="Times New Roman" w:hAnsi="Times New Roman" w:cs="Times New Roman"/>
                <w:sz w:val="22"/>
                <w:szCs w:val="22"/>
              </w:rPr>
            </w:pPr>
          </w:p>
        </w:tc>
        <w:tc>
          <w:tcPr>
            <w:tcW w:w="1843" w:type="dxa"/>
          </w:tcPr>
          <w:p w14:paraId="6BE4E87E" w14:textId="3E12A496" w:rsidR="008530E8" w:rsidRPr="007C10D2" w:rsidRDefault="002B4492" w:rsidP="005A7812">
            <w:pPr>
              <w:jc w:val="center"/>
              <w:rPr>
                <w:rFonts w:ascii="Times New Roman" w:hAnsi="Times New Roman" w:cs="Times New Roman"/>
                <w:sz w:val="22"/>
                <w:szCs w:val="22"/>
              </w:rPr>
            </w:pPr>
            <w:r>
              <w:rPr>
                <w:rFonts w:ascii="Times New Roman" w:hAnsi="Times New Roman" w:cs="Times New Roman"/>
                <w:sz w:val="22"/>
                <w:szCs w:val="22"/>
              </w:rPr>
              <w:t>Gł. Księgowy.</w:t>
            </w:r>
            <w:r w:rsidR="00181005" w:rsidRPr="007C10D2">
              <w:rPr>
                <w:rFonts w:ascii="Times New Roman" w:hAnsi="Times New Roman" w:cs="Times New Roman"/>
                <w:sz w:val="22"/>
                <w:szCs w:val="22"/>
              </w:rPr>
              <w:t xml:space="preserve"> </w:t>
            </w:r>
          </w:p>
        </w:tc>
        <w:tc>
          <w:tcPr>
            <w:tcW w:w="1843" w:type="dxa"/>
          </w:tcPr>
          <w:p w14:paraId="47B811C6" w14:textId="77777777" w:rsidR="008530E8" w:rsidRPr="007C10D2" w:rsidRDefault="008530E8" w:rsidP="005A7812">
            <w:pPr>
              <w:jc w:val="center"/>
              <w:rPr>
                <w:rFonts w:ascii="Times New Roman" w:hAnsi="Times New Roman" w:cs="Times New Roman"/>
                <w:sz w:val="22"/>
                <w:szCs w:val="22"/>
              </w:rPr>
            </w:pPr>
            <w:r w:rsidRPr="007C10D2">
              <w:rPr>
                <w:rFonts w:ascii="Times New Roman" w:hAnsi="Times New Roman" w:cs="Times New Roman"/>
                <w:sz w:val="22"/>
                <w:szCs w:val="22"/>
              </w:rPr>
              <w:t>Strona www. Banku</w:t>
            </w:r>
          </w:p>
        </w:tc>
        <w:tc>
          <w:tcPr>
            <w:tcW w:w="1843" w:type="dxa"/>
          </w:tcPr>
          <w:p w14:paraId="7B8EB743" w14:textId="77777777" w:rsidR="008530E8" w:rsidRPr="007C10D2" w:rsidRDefault="008530E8" w:rsidP="005A7812">
            <w:pPr>
              <w:jc w:val="center"/>
              <w:rPr>
                <w:rFonts w:ascii="Times New Roman" w:hAnsi="Times New Roman" w:cs="Times New Roman"/>
                <w:sz w:val="22"/>
                <w:szCs w:val="22"/>
              </w:rPr>
            </w:pPr>
            <w:r w:rsidRPr="007C10D2">
              <w:rPr>
                <w:rFonts w:ascii="Times New Roman" w:hAnsi="Times New Roman" w:cs="Times New Roman"/>
                <w:sz w:val="22"/>
                <w:szCs w:val="22"/>
              </w:rPr>
              <w:t>Na bieżąco</w:t>
            </w:r>
          </w:p>
        </w:tc>
      </w:tr>
      <w:tr w:rsidR="007C10D2" w:rsidRPr="007C10D2" w14:paraId="42726EB2" w14:textId="77777777" w:rsidTr="005A7812">
        <w:tc>
          <w:tcPr>
            <w:tcW w:w="637" w:type="dxa"/>
          </w:tcPr>
          <w:p w14:paraId="45562C24" w14:textId="77777777" w:rsidR="008530E8" w:rsidRPr="007C10D2" w:rsidRDefault="008530E8" w:rsidP="00B06E6D">
            <w:pPr>
              <w:numPr>
                <w:ilvl w:val="0"/>
                <w:numId w:val="15"/>
              </w:numPr>
              <w:jc w:val="center"/>
              <w:rPr>
                <w:rFonts w:ascii="Times New Roman" w:hAnsi="Times New Roman" w:cs="Times New Roman"/>
                <w:sz w:val="22"/>
                <w:szCs w:val="22"/>
              </w:rPr>
            </w:pPr>
          </w:p>
        </w:tc>
        <w:tc>
          <w:tcPr>
            <w:tcW w:w="7938" w:type="dxa"/>
          </w:tcPr>
          <w:p w14:paraId="1F4031A8" w14:textId="0664AC9F" w:rsidR="00B329A6" w:rsidRPr="007C10D2" w:rsidRDefault="00B329A6" w:rsidP="005A7812">
            <w:pPr>
              <w:rPr>
                <w:rFonts w:ascii="Times New Roman" w:hAnsi="Times New Roman" w:cs="Times New Roman"/>
                <w:sz w:val="22"/>
                <w:szCs w:val="22"/>
              </w:rPr>
            </w:pPr>
            <w:r w:rsidRPr="007C10D2">
              <w:rPr>
                <w:rFonts w:ascii="Times New Roman" w:hAnsi="Times New Roman" w:cs="Times New Roman"/>
                <w:sz w:val="22"/>
                <w:szCs w:val="22"/>
              </w:rPr>
              <w:t>Art. 111a ust. 4 Ustawy Prawo bankowe:</w:t>
            </w:r>
          </w:p>
          <w:p w14:paraId="33231862" w14:textId="63349C14" w:rsidR="005044C5" w:rsidRPr="007C10D2" w:rsidRDefault="00620B62" w:rsidP="00B329A6">
            <w:pPr>
              <w:pStyle w:val="Akapitzlist"/>
              <w:numPr>
                <w:ilvl w:val="0"/>
                <w:numId w:val="41"/>
              </w:numPr>
              <w:rPr>
                <w:snapToGrid w:val="0"/>
                <w:sz w:val="22"/>
                <w:szCs w:val="22"/>
              </w:rPr>
            </w:pPr>
            <w:r w:rsidRPr="007C10D2">
              <w:rPr>
                <w:snapToGrid w:val="0"/>
                <w:sz w:val="22"/>
                <w:szCs w:val="22"/>
              </w:rPr>
              <w:t>I</w:t>
            </w:r>
            <w:r w:rsidR="005044C5" w:rsidRPr="007C10D2">
              <w:rPr>
                <w:snapToGrid w:val="0"/>
                <w:sz w:val="22"/>
                <w:szCs w:val="22"/>
              </w:rPr>
              <w:t>nformacj</w:t>
            </w:r>
            <w:r w:rsidR="00B329A6" w:rsidRPr="007C10D2">
              <w:rPr>
                <w:snapToGrid w:val="0"/>
                <w:sz w:val="22"/>
                <w:szCs w:val="22"/>
              </w:rPr>
              <w:t>a</w:t>
            </w:r>
            <w:r w:rsidR="005044C5" w:rsidRPr="007C10D2">
              <w:rPr>
                <w:snapToGrid w:val="0"/>
                <w:sz w:val="22"/>
                <w:szCs w:val="22"/>
              </w:rPr>
              <w:t xml:space="preserve"> o spełnianiu przez członków rady nadzorczej i zarządu wymogów określonych w art. 22aa.</w:t>
            </w:r>
          </w:p>
          <w:p w14:paraId="01B1BE1D" w14:textId="77777777" w:rsidR="008530E8" w:rsidRPr="007C10D2" w:rsidRDefault="008530E8" w:rsidP="005A7812">
            <w:pPr>
              <w:rPr>
                <w:rFonts w:ascii="Times New Roman" w:hAnsi="Times New Roman" w:cs="Times New Roman"/>
                <w:sz w:val="22"/>
                <w:szCs w:val="22"/>
              </w:rPr>
            </w:pPr>
          </w:p>
        </w:tc>
        <w:tc>
          <w:tcPr>
            <w:tcW w:w="1843" w:type="dxa"/>
          </w:tcPr>
          <w:p w14:paraId="1AD71DED" w14:textId="77777777" w:rsidR="008530E8" w:rsidRPr="007C10D2" w:rsidRDefault="008530E8" w:rsidP="005A7812">
            <w:pPr>
              <w:jc w:val="center"/>
              <w:rPr>
                <w:rFonts w:ascii="Times New Roman" w:hAnsi="Times New Roman" w:cs="Times New Roman"/>
                <w:sz w:val="22"/>
                <w:szCs w:val="22"/>
              </w:rPr>
            </w:pPr>
          </w:p>
          <w:p w14:paraId="49A3DA33" w14:textId="77777777" w:rsidR="008530E8" w:rsidRPr="007C10D2" w:rsidRDefault="008530E8" w:rsidP="005A7812">
            <w:pPr>
              <w:jc w:val="center"/>
              <w:rPr>
                <w:rFonts w:ascii="Times New Roman" w:hAnsi="Times New Roman" w:cs="Times New Roman"/>
                <w:sz w:val="22"/>
                <w:szCs w:val="22"/>
              </w:rPr>
            </w:pPr>
          </w:p>
          <w:p w14:paraId="2DF6C3D9" w14:textId="77777777" w:rsidR="008530E8" w:rsidRPr="007C10D2" w:rsidRDefault="008530E8" w:rsidP="005A7812">
            <w:pPr>
              <w:jc w:val="center"/>
              <w:rPr>
                <w:rFonts w:ascii="Times New Roman" w:hAnsi="Times New Roman" w:cs="Times New Roman"/>
                <w:sz w:val="22"/>
                <w:szCs w:val="22"/>
              </w:rPr>
            </w:pPr>
            <w:r w:rsidRPr="007C10D2">
              <w:rPr>
                <w:rFonts w:ascii="Times New Roman" w:hAnsi="Times New Roman" w:cs="Times New Roman"/>
                <w:sz w:val="22"/>
                <w:szCs w:val="22"/>
              </w:rPr>
              <w:t xml:space="preserve">Zespół zarządzania </w:t>
            </w:r>
            <w:proofErr w:type="spellStart"/>
            <w:r w:rsidRPr="007C10D2">
              <w:rPr>
                <w:rFonts w:ascii="Times New Roman" w:hAnsi="Times New Roman" w:cs="Times New Roman"/>
                <w:sz w:val="22"/>
                <w:szCs w:val="22"/>
              </w:rPr>
              <w:t>ryzykami</w:t>
            </w:r>
            <w:proofErr w:type="spellEnd"/>
            <w:r w:rsidRPr="007C10D2">
              <w:rPr>
                <w:rFonts w:ascii="Times New Roman" w:hAnsi="Times New Roman" w:cs="Times New Roman"/>
                <w:sz w:val="22"/>
                <w:szCs w:val="22"/>
              </w:rPr>
              <w:t xml:space="preserve"> i analiz</w:t>
            </w:r>
          </w:p>
        </w:tc>
        <w:tc>
          <w:tcPr>
            <w:tcW w:w="1843" w:type="dxa"/>
          </w:tcPr>
          <w:p w14:paraId="6EC43631" w14:textId="77777777" w:rsidR="00C108BF" w:rsidRPr="007C10D2" w:rsidRDefault="00C108BF" w:rsidP="005A7812">
            <w:pPr>
              <w:rPr>
                <w:rFonts w:ascii="Times New Roman" w:hAnsi="Times New Roman" w:cs="Times New Roman"/>
                <w:sz w:val="22"/>
                <w:szCs w:val="22"/>
              </w:rPr>
            </w:pPr>
          </w:p>
          <w:p w14:paraId="785FF83F" w14:textId="77777777" w:rsidR="00C108BF" w:rsidRPr="007C10D2" w:rsidRDefault="00C108BF" w:rsidP="005A7812">
            <w:pPr>
              <w:rPr>
                <w:rFonts w:ascii="Times New Roman" w:hAnsi="Times New Roman" w:cs="Times New Roman"/>
                <w:sz w:val="22"/>
                <w:szCs w:val="22"/>
              </w:rPr>
            </w:pPr>
          </w:p>
          <w:p w14:paraId="14C3923C" w14:textId="77777777" w:rsidR="008530E8" w:rsidRPr="007C10D2" w:rsidRDefault="008530E8" w:rsidP="005A7812">
            <w:pPr>
              <w:rPr>
                <w:rFonts w:ascii="Times New Roman" w:hAnsi="Times New Roman" w:cs="Times New Roman"/>
                <w:sz w:val="22"/>
                <w:szCs w:val="22"/>
              </w:rPr>
            </w:pPr>
            <w:r w:rsidRPr="007C10D2">
              <w:rPr>
                <w:rFonts w:ascii="Times New Roman" w:hAnsi="Times New Roman" w:cs="Times New Roman"/>
                <w:sz w:val="22"/>
                <w:szCs w:val="22"/>
              </w:rPr>
              <w:t>Strona www. Banku</w:t>
            </w:r>
          </w:p>
        </w:tc>
        <w:tc>
          <w:tcPr>
            <w:tcW w:w="1843" w:type="dxa"/>
          </w:tcPr>
          <w:p w14:paraId="2DCDB953" w14:textId="77777777" w:rsidR="00C108BF" w:rsidRPr="007C10D2" w:rsidRDefault="00C108BF" w:rsidP="005A7812">
            <w:pPr>
              <w:rPr>
                <w:rFonts w:ascii="Times New Roman" w:hAnsi="Times New Roman" w:cs="Times New Roman"/>
                <w:sz w:val="22"/>
                <w:szCs w:val="22"/>
              </w:rPr>
            </w:pPr>
          </w:p>
          <w:p w14:paraId="484B8177" w14:textId="77777777" w:rsidR="00C108BF" w:rsidRPr="007C10D2" w:rsidRDefault="00C108BF" w:rsidP="005A7812">
            <w:pPr>
              <w:rPr>
                <w:rFonts w:ascii="Times New Roman" w:hAnsi="Times New Roman" w:cs="Times New Roman"/>
                <w:sz w:val="22"/>
                <w:szCs w:val="22"/>
              </w:rPr>
            </w:pPr>
          </w:p>
          <w:p w14:paraId="13B283AE" w14:textId="77777777" w:rsidR="008530E8" w:rsidRPr="007C10D2" w:rsidRDefault="008530E8" w:rsidP="005A7812">
            <w:pPr>
              <w:rPr>
                <w:rFonts w:ascii="Times New Roman" w:hAnsi="Times New Roman" w:cs="Times New Roman"/>
                <w:sz w:val="22"/>
                <w:szCs w:val="22"/>
              </w:rPr>
            </w:pPr>
            <w:r w:rsidRPr="007C10D2">
              <w:rPr>
                <w:rFonts w:ascii="Times New Roman" w:hAnsi="Times New Roman" w:cs="Times New Roman"/>
                <w:sz w:val="22"/>
                <w:szCs w:val="22"/>
              </w:rPr>
              <w:t>Na bieżąco</w:t>
            </w:r>
          </w:p>
        </w:tc>
      </w:tr>
      <w:tr w:rsidR="007C10D2" w:rsidRPr="007C10D2" w14:paraId="4A54E134" w14:textId="77777777" w:rsidTr="005A7812">
        <w:tc>
          <w:tcPr>
            <w:tcW w:w="637" w:type="dxa"/>
          </w:tcPr>
          <w:p w14:paraId="3B0D7D41" w14:textId="77777777" w:rsidR="008530E8" w:rsidRPr="007C10D2" w:rsidRDefault="008530E8" w:rsidP="00B06E6D">
            <w:pPr>
              <w:numPr>
                <w:ilvl w:val="0"/>
                <w:numId w:val="15"/>
              </w:numPr>
              <w:jc w:val="center"/>
              <w:rPr>
                <w:rFonts w:ascii="Times New Roman" w:hAnsi="Times New Roman" w:cs="Times New Roman"/>
                <w:sz w:val="22"/>
                <w:szCs w:val="22"/>
              </w:rPr>
            </w:pPr>
          </w:p>
        </w:tc>
        <w:tc>
          <w:tcPr>
            <w:tcW w:w="7938" w:type="dxa"/>
          </w:tcPr>
          <w:p w14:paraId="283940A5" w14:textId="77777777" w:rsidR="00A51511" w:rsidRPr="007C10D2" w:rsidRDefault="008530E8" w:rsidP="00A51511">
            <w:pPr>
              <w:pStyle w:val="Default"/>
              <w:rPr>
                <w:snapToGrid w:val="0"/>
                <w:color w:val="auto"/>
                <w:sz w:val="22"/>
                <w:szCs w:val="22"/>
              </w:rPr>
            </w:pPr>
            <w:r w:rsidRPr="007C10D2">
              <w:rPr>
                <w:snapToGrid w:val="0"/>
                <w:color w:val="auto"/>
                <w:sz w:val="22"/>
                <w:szCs w:val="22"/>
              </w:rPr>
              <w:t>Informacje wynikające z Rekomendacji „P”  w zakresie</w:t>
            </w:r>
            <w:r w:rsidR="00D4795E" w:rsidRPr="007C10D2">
              <w:rPr>
                <w:snapToGrid w:val="0"/>
                <w:color w:val="auto"/>
                <w:sz w:val="22"/>
                <w:szCs w:val="22"/>
              </w:rPr>
              <w:t xml:space="preserve"> </w:t>
            </w:r>
          </w:p>
          <w:p w14:paraId="22C58920" w14:textId="77777777" w:rsidR="00A51511" w:rsidRPr="007C10D2" w:rsidRDefault="00A51511" w:rsidP="00A51511">
            <w:pPr>
              <w:pStyle w:val="Default"/>
              <w:rPr>
                <w:snapToGrid w:val="0"/>
                <w:color w:val="auto"/>
                <w:sz w:val="22"/>
                <w:szCs w:val="22"/>
              </w:rPr>
            </w:pPr>
          </w:p>
          <w:p w14:paraId="6055AE10" w14:textId="3771C5FF" w:rsidR="008530E8" w:rsidRPr="007C10D2" w:rsidRDefault="008530E8" w:rsidP="00A51511">
            <w:pPr>
              <w:pStyle w:val="Default"/>
              <w:numPr>
                <w:ilvl w:val="0"/>
                <w:numId w:val="37"/>
              </w:numPr>
              <w:rPr>
                <w:snapToGrid w:val="0"/>
                <w:color w:val="auto"/>
                <w:sz w:val="22"/>
                <w:szCs w:val="22"/>
              </w:rPr>
            </w:pPr>
            <w:r w:rsidRPr="007C10D2">
              <w:rPr>
                <w:snapToGrid w:val="0"/>
                <w:color w:val="auto"/>
                <w:sz w:val="22"/>
                <w:szCs w:val="22"/>
              </w:rPr>
              <w:t xml:space="preserve">roli i zakresu odpowiedzialności właściwych komitetów oraz innych jednostek funkcjonalnych i biznesowych, </w:t>
            </w:r>
          </w:p>
          <w:p w14:paraId="52039426" w14:textId="77777777" w:rsidR="008530E8" w:rsidRPr="007C10D2" w:rsidRDefault="008530E8" w:rsidP="00A51511">
            <w:pPr>
              <w:pStyle w:val="Akapitzlist"/>
              <w:widowControl w:val="0"/>
              <w:numPr>
                <w:ilvl w:val="0"/>
                <w:numId w:val="37"/>
              </w:numPr>
              <w:rPr>
                <w:snapToGrid w:val="0"/>
                <w:sz w:val="22"/>
                <w:szCs w:val="22"/>
              </w:rPr>
            </w:pPr>
            <w:r w:rsidRPr="007C10D2">
              <w:rPr>
                <w:snapToGrid w:val="0"/>
                <w:sz w:val="22"/>
                <w:szCs w:val="22"/>
              </w:rPr>
              <w:t>działalności w zakresie pozyskiwania finansowania,</w:t>
            </w:r>
          </w:p>
          <w:p w14:paraId="6E5744B4" w14:textId="77777777" w:rsidR="008530E8" w:rsidRPr="007C10D2" w:rsidRDefault="008530E8" w:rsidP="00A51511">
            <w:pPr>
              <w:pStyle w:val="Akapitzlist"/>
              <w:widowControl w:val="0"/>
              <w:numPr>
                <w:ilvl w:val="0"/>
                <w:numId w:val="37"/>
              </w:numPr>
              <w:rPr>
                <w:snapToGrid w:val="0"/>
                <w:sz w:val="22"/>
                <w:szCs w:val="22"/>
              </w:rPr>
            </w:pPr>
            <w:r w:rsidRPr="007C10D2">
              <w:rPr>
                <w:snapToGrid w:val="0"/>
                <w:sz w:val="22"/>
                <w:szCs w:val="22"/>
              </w:rPr>
              <w:t xml:space="preserve">stopnia, w jakim funkcje skarbowe oraz zarządzanie ryzykiem płynności są scentralizowane bądź zdecentralizowane, </w:t>
            </w:r>
          </w:p>
          <w:p w14:paraId="24F3917F" w14:textId="77777777" w:rsidR="008530E8" w:rsidRPr="007C10D2" w:rsidRDefault="008530E8" w:rsidP="00A51511">
            <w:pPr>
              <w:pStyle w:val="Akapitzlist"/>
              <w:widowControl w:val="0"/>
              <w:numPr>
                <w:ilvl w:val="0"/>
                <w:numId w:val="37"/>
              </w:numPr>
              <w:rPr>
                <w:snapToGrid w:val="0"/>
                <w:sz w:val="22"/>
                <w:szCs w:val="22"/>
              </w:rPr>
            </w:pPr>
            <w:r w:rsidRPr="007C10D2">
              <w:rPr>
                <w:snapToGrid w:val="0"/>
                <w:sz w:val="22"/>
                <w:szCs w:val="22"/>
              </w:rPr>
              <w:t xml:space="preserve">w przypadku zrzeszonego banku spółdzielczego, funkcjonowania w ramach zrzeszenia. </w:t>
            </w:r>
          </w:p>
          <w:p w14:paraId="2F218264" w14:textId="77777777" w:rsidR="008530E8" w:rsidRPr="007C10D2" w:rsidRDefault="008530E8" w:rsidP="00A51511">
            <w:pPr>
              <w:pStyle w:val="Akapitzlist"/>
              <w:widowControl w:val="0"/>
              <w:numPr>
                <w:ilvl w:val="0"/>
                <w:numId w:val="37"/>
              </w:numPr>
              <w:rPr>
                <w:snapToGrid w:val="0"/>
                <w:sz w:val="22"/>
                <w:szCs w:val="22"/>
              </w:rPr>
            </w:pPr>
            <w:r w:rsidRPr="007C10D2">
              <w:rPr>
                <w:snapToGrid w:val="0"/>
                <w:sz w:val="22"/>
                <w:szCs w:val="22"/>
              </w:rPr>
              <w:t xml:space="preserve">rozmiar i skład nadwyżki płynności banku,  </w:t>
            </w:r>
          </w:p>
          <w:p w14:paraId="3393F438" w14:textId="77777777" w:rsidR="008530E8" w:rsidRPr="007C10D2" w:rsidRDefault="008530E8" w:rsidP="00A51511">
            <w:pPr>
              <w:pStyle w:val="Akapitzlist"/>
              <w:widowControl w:val="0"/>
              <w:numPr>
                <w:ilvl w:val="0"/>
                <w:numId w:val="37"/>
              </w:numPr>
              <w:rPr>
                <w:snapToGrid w:val="0"/>
                <w:sz w:val="22"/>
                <w:szCs w:val="22"/>
              </w:rPr>
            </w:pPr>
            <w:r w:rsidRPr="007C10D2">
              <w:rPr>
                <w:snapToGrid w:val="0"/>
                <w:sz w:val="22"/>
                <w:szCs w:val="22"/>
              </w:rPr>
              <w:t xml:space="preserve">wymogi dotyczące dodatkowego zabezpieczenia na wypadek obniżenia oceny kredytowej banku, </w:t>
            </w:r>
          </w:p>
          <w:p w14:paraId="4E0CE388" w14:textId="77777777" w:rsidR="008530E8" w:rsidRPr="007C10D2" w:rsidRDefault="008530E8" w:rsidP="00A51511">
            <w:pPr>
              <w:pStyle w:val="Akapitzlist"/>
              <w:widowControl w:val="0"/>
              <w:numPr>
                <w:ilvl w:val="0"/>
                <w:numId w:val="37"/>
              </w:numPr>
              <w:jc w:val="both"/>
              <w:rPr>
                <w:sz w:val="22"/>
                <w:szCs w:val="22"/>
              </w:rPr>
            </w:pPr>
            <w:r w:rsidRPr="007C10D2">
              <w:rPr>
                <w:snapToGrid w:val="0"/>
                <w:sz w:val="22"/>
                <w:szCs w:val="22"/>
              </w:rPr>
              <w:t>normy płynności oraz inne regulacyjne normy dopuszczalnego ryzyka w działalności banków obowiązujące w danej jurysdykcji.</w:t>
            </w:r>
          </w:p>
          <w:p w14:paraId="5F81B46B" w14:textId="77777777" w:rsidR="008530E8" w:rsidRPr="007C10D2" w:rsidRDefault="008530E8" w:rsidP="00A51511">
            <w:pPr>
              <w:pStyle w:val="Akapitzlist"/>
              <w:widowControl w:val="0"/>
              <w:numPr>
                <w:ilvl w:val="0"/>
                <w:numId w:val="37"/>
              </w:numPr>
              <w:jc w:val="both"/>
              <w:rPr>
                <w:sz w:val="22"/>
                <w:szCs w:val="22"/>
              </w:rPr>
            </w:pPr>
            <w:r w:rsidRPr="007C10D2">
              <w:rPr>
                <w:sz w:val="22"/>
                <w:szCs w:val="22"/>
              </w:rPr>
              <w:t xml:space="preserve">lukę płynności zawierającą kilka najbliższych przedziałów dla pozycji bilansowych i pozabilansowych oraz otrzymane na tej podstawie skumulowane luki płynności, </w:t>
            </w:r>
          </w:p>
          <w:p w14:paraId="0DF348D0" w14:textId="77777777" w:rsidR="008530E8" w:rsidRPr="007C10D2" w:rsidRDefault="008530E8" w:rsidP="00A51511">
            <w:pPr>
              <w:pStyle w:val="Akapitzlist"/>
              <w:widowControl w:val="0"/>
              <w:numPr>
                <w:ilvl w:val="0"/>
                <w:numId w:val="37"/>
              </w:numPr>
              <w:jc w:val="both"/>
              <w:rPr>
                <w:sz w:val="22"/>
                <w:szCs w:val="22"/>
              </w:rPr>
            </w:pPr>
            <w:r w:rsidRPr="007C10D2">
              <w:rPr>
                <w:sz w:val="22"/>
                <w:szCs w:val="22"/>
              </w:rPr>
              <w:t xml:space="preserve">w przypadku zrzeszonych banków spółdzielczych oraz banku zrzeszającego, dodatkowe zabezpieczenie płynności w ramach </w:t>
            </w:r>
            <w:r w:rsidRPr="007C10D2">
              <w:rPr>
                <w:sz w:val="22"/>
                <w:szCs w:val="22"/>
              </w:rPr>
              <w:lastRenderedPageBreak/>
              <w:t>zrzeszenia.</w:t>
            </w:r>
          </w:p>
          <w:p w14:paraId="493D022B" w14:textId="77777777" w:rsidR="008530E8" w:rsidRPr="007C10D2" w:rsidRDefault="008530E8" w:rsidP="00A51511">
            <w:pPr>
              <w:pStyle w:val="Akapitzlist"/>
              <w:widowControl w:val="0"/>
              <w:numPr>
                <w:ilvl w:val="0"/>
                <w:numId w:val="37"/>
              </w:numPr>
              <w:jc w:val="both"/>
              <w:rPr>
                <w:sz w:val="22"/>
                <w:szCs w:val="22"/>
              </w:rPr>
            </w:pPr>
            <w:r w:rsidRPr="007C10D2">
              <w:rPr>
                <w:sz w:val="22"/>
                <w:szCs w:val="22"/>
              </w:rPr>
              <w:t xml:space="preserve">aspekty ryzyka płynności, na które bank jest narażony i które monitoruje, </w:t>
            </w:r>
          </w:p>
          <w:p w14:paraId="448904B6" w14:textId="77777777" w:rsidR="008530E8" w:rsidRPr="007C10D2" w:rsidRDefault="008530E8" w:rsidP="00A51511">
            <w:pPr>
              <w:pStyle w:val="Akapitzlist"/>
              <w:widowControl w:val="0"/>
              <w:numPr>
                <w:ilvl w:val="0"/>
                <w:numId w:val="37"/>
              </w:numPr>
              <w:jc w:val="both"/>
              <w:rPr>
                <w:sz w:val="22"/>
                <w:szCs w:val="22"/>
              </w:rPr>
            </w:pPr>
            <w:r w:rsidRPr="007C10D2">
              <w:rPr>
                <w:sz w:val="22"/>
                <w:szCs w:val="22"/>
              </w:rPr>
              <w:t xml:space="preserve">dywersyfikację źródeł finansowania,  </w:t>
            </w:r>
          </w:p>
          <w:p w14:paraId="578692D5" w14:textId="77777777" w:rsidR="008530E8" w:rsidRPr="007C10D2" w:rsidRDefault="008530E8" w:rsidP="00A51511">
            <w:pPr>
              <w:pStyle w:val="Akapitzlist"/>
              <w:widowControl w:val="0"/>
              <w:numPr>
                <w:ilvl w:val="0"/>
                <w:numId w:val="37"/>
              </w:numPr>
              <w:jc w:val="both"/>
              <w:rPr>
                <w:sz w:val="22"/>
                <w:szCs w:val="22"/>
              </w:rPr>
            </w:pPr>
            <w:r w:rsidRPr="007C10D2">
              <w:rPr>
                <w:sz w:val="22"/>
                <w:szCs w:val="22"/>
              </w:rPr>
              <w:t>inne techniki wykorzystywane do ograniczania ryzyka płynności,</w:t>
            </w:r>
          </w:p>
          <w:p w14:paraId="60BBD19D" w14:textId="77777777" w:rsidR="008530E8" w:rsidRPr="007C10D2" w:rsidRDefault="008530E8" w:rsidP="00A51511">
            <w:pPr>
              <w:pStyle w:val="Akapitzlist"/>
              <w:widowControl w:val="0"/>
              <w:numPr>
                <w:ilvl w:val="0"/>
                <w:numId w:val="37"/>
              </w:numPr>
              <w:jc w:val="both"/>
              <w:rPr>
                <w:sz w:val="22"/>
                <w:szCs w:val="22"/>
              </w:rPr>
            </w:pPr>
            <w:r w:rsidRPr="007C10D2">
              <w:rPr>
                <w:sz w:val="22"/>
                <w:szCs w:val="22"/>
              </w:rPr>
              <w:t xml:space="preserve">pojęcia stosowane w procesie mierzenia pozycji płynnościowej i ryzyka płynności, d)łącznie z dodatkowymi wskaźnikami, dla których bank nie ujawnia danych, </w:t>
            </w:r>
          </w:p>
          <w:p w14:paraId="206564E1" w14:textId="69B7A214" w:rsidR="008530E8" w:rsidRPr="007C10D2" w:rsidRDefault="008530E8" w:rsidP="00A51511">
            <w:pPr>
              <w:pStyle w:val="Akapitzlist"/>
              <w:widowControl w:val="0"/>
              <w:numPr>
                <w:ilvl w:val="0"/>
                <w:numId w:val="37"/>
              </w:numPr>
              <w:jc w:val="both"/>
              <w:rPr>
                <w:sz w:val="22"/>
                <w:szCs w:val="22"/>
              </w:rPr>
            </w:pPr>
            <w:r w:rsidRPr="007C10D2">
              <w:rPr>
                <w:sz w:val="22"/>
                <w:szCs w:val="22"/>
              </w:rPr>
              <w:t xml:space="preserve">wyjaśnienie, w jaki sposób ryzyko płynności rynku (produktu) jest odzwierciedlone w systemie zarządzania płynnością płatniczą banku, </w:t>
            </w:r>
          </w:p>
          <w:p w14:paraId="6CDBD457" w14:textId="77777777" w:rsidR="008530E8" w:rsidRPr="007C10D2" w:rsidRDefault="008530E8" w:rsidP="00A51511">
            <w:pPr>
              <w:pStyle w:val="Akapitzlist"/>
              <w:widowControl w:val="0"/>
              <w:numPr>
                <w:ilvl w:val="0"/>
                <w:numId w:val="37"/>
              </w:numPr>
              <w:jc w:val="both"/>
              <w:rPr>
                <w:sz w:val="22"/>
                <w:szCs w:val="22"/>
              </w:rPr>
            </w:pPr>
            <w:r w:rsidRPr="007C10D2">
              <w:rPr>
                <w:sz w:val="22"/>
                <w:szCs w:val="22"/>
              </w:rPr>
              <w:t xml:space="preserve">wyjaśnienie, jak są wykorzystywane testy warunków skrajnych, </w:t>
            </w:r>
          </w:p>
          <w:p w14:paraId="486E0E2F" w14:textId="77777777" w:rsidR="008530E8" w:rsidRPr="007C10D2" w:rsidRDefault="008530E8" w:rsidP="00A51511">
            <w:pPr>
              <w:pStyle w:val="Akapitzlist"/>
              <w:widowControl w:val="0"/>
              <w:numPr>
                <w:ilvl w:val="0"/>
                <w:numId w:val="37"/>
              </w:numPr>
              <w:jc w:val="both"/>
              <w:rPr>
                <w:sz w:val="22"/>
                <w:szCs w:val="22"/>
              </w:rPr>
            </w:pPr>
            <w:r w:rsidRPr="007C10D2">
              <w:rPr>
                <w:sz w:val="22"/>
                <w:szCs w:val="22"/>
              </w:rPr>
              <w:t xml:space="preserve">opis modelowanych scenariuszy testów warunków skrajnych, </w:t>
            </w:r>
          </w:p>
          <w:p w14:paraId="4122EF3A" w14:textId="77777777" w:rsidR="008530E8" w:rsidRPr="007C10D2" w:rsidRDefault="008530E8" w:rsidP="00A51511">
            <w:pPr>
              <w:pStyle w:val="Akapitzlist"/>
              <w:widowControl w:val="0"/>
              <w:numPr>
                <w:ilvl w:val="0"/>
                <w:numId w:val="37"/>
              </w:numPr>
              <w:jc w:val="both"/>
              <w:rPr>
                <w:sz w:val="22"/>
                <w:szCs w:val="22"/>
              </w:rPr>
            </w:pPr>
            <w:r w:rsidRPr="007C10D2">
              <w:rPr>
                <w:sz w:val="22"/>
                <w:szCs w:val="22"/>
              </w:rPr>
              <w:t xml:space="preserve">wskazanie, czy i w jakim stopniu plan awaryjny płynności uwzględnia wyniki testów warunków skrajnych, </w:t>
            </w:r>
          </w:p>
          <w:p w14:paraId="744048DA" w14:textId="77777777" w:rsidR="008530E8" w:rsidRPr="007C10D2" w:rsidRDefault="008530E8" w:rsidP="00A51511">
            <w:pPr>
              <w:pStyle w:val="Akapitzlist"/>
              <w:widowControl w:val="0"/>
              <w:numPr>
                <w:ilvl w:val="0"/>
                <w:numId w:val="37"/>
              </w:numPr>
              <w:jc w:val="both"/>
              <w:rPr>
                <w:snapToGrid w:val="0"/>
                <w:sz w:val="22"/>
                <w:szCs w:val="22"/>
              </w:rPr>
            </w:pPr>
            <w:r w:rsidRPr="007C10D2">
              <w:rPr>
                <w:sz w:val="22"/>
                <w:szCs w:val="22"/>
              </w:rPr>
              <w:t xml:space="preserve">politykę banku w zakresie utrzymywania rezerw płynności, </w:t>
            </w:r>
          </w:p>
          <w:p w14:paraId="6137C9A8" w14:textId="77777777" w:rsidR="008530E8" w:rsidRPr="007C10D2" w:rsidRDefault="008530E8" w:rsidP="00A51511">
            <w:pPr>
              <w:pStyle w:val="Akapitzlist"/>
              <w:widowControl w:val="0"/>
              <w:numPr>
                <w:ilvl w:val="0"/>
                <w:numId w:val="37"/>
              </w:numPr>
              <w:jc w:val="both"/>
              <w:rPr>
                <w:snapToGrid w:val="0"/>
                <w:sz w:val="22"/>
                <w:szCs w:val="22"/>
              </w:rPr>
            </w:pPr>
            <w:r w:rsidRPr="007C10D2">
              <w:rPr>
                <w:sz w:val="22"/>
                <w:szCs w:val="22"/>
              </w:rPr>
              <w:t>ograniczenia regulacyjne w zakresie transferu płynności w obrębie jednostek grupy j)lub, w przypadku zrzeszonych banków spółdzielczych i banku zrzeszającego, w obrębie zrzeszenia</w:t>
            </w:r>
          </w:p>
        </w:tc>
        <w:tc>
          <w:tcPr>
            <w:tcW w:w="1843" w:type="dxa"/>
          </w:tcPr>
          <w:p w14:paraId="3440129D" w14:textId="77777777" w:rsidR="008530E8" w:rsidRPr="007C10D2" w:rsidRDefault="008530E8" w:rsidP="005A7812">
            <w:pPr>
              <w:jc w:val="center"/>
              <w:rPr>
                <w:rFonts w:ascii="Times New Roman" w:hAnsi="Times New Roman" w:cs="Times New Roman"/>
                <w:sz w:val="22"/>
                <w:szCs w:val="22"/>
              </w:rPr>
            </w:pPr>
            <w:r w:rsidRPr="007C10D2">
              <w:rPr>
                <w:rFonts w:ascii="Times New Roman" w:hAnsi="Times New Roman" w:cs="Times New Roman"/>
                <w:sz w:val="22"/>
                <w:szCs w:val="22"/>
              </w:rPr>
              <w:lastRenderedPageBreak/>
              <w:t xml:space="preserve">Zespół zarządzania </w:t>
            </w:r>
            <w:proofErr w:type="spellStart"/>
            <w:r w:rsidRPr="007C10D2">
              <w:rPr>
                <w:rFonts w:ascii="Times New Roman" w:hAnsi="Times New Roman" w:cs="Times New Roman"/>
                <w:sz w:val="22"/>
                <w:szCs w:val="22"/>
              </w:rPr>
              <w:t>ryzykami</w:t>
            </w:r>
            <w:proofErr w:type="spellEnd"/>
            <w:r w:rsidRPr="007C10D2">
              <w:rPr>
                <w:rFonts w:ascii="Times New Roman" w:hAnsi="Times New Roman" w:cs="Times New Roman"/>
                <w:sz w:val="22"/>
                <w:szCs w:val="22"/>
              </w:rPr>
              <w:t xml:space="preserve"> i analiz</w:t>
            </w:r>
          </w:p>
        </w:tc>
        <w:tc>
          <w:tcPr>
            <w:tcW w:w="1843" w:type="dxa"/>
          </w:tcPr>
          <w:p w14:paraId="1916F00C" w14:textId="1AFFF959" w:rsidR="008530E8" w:rsidRPr="007C10D2" w:rsidRDefault="00A51511" w:rsidP="005A7812">
            <w:pPr>
              <w:jc w:val="center"/>
              <w:rPr>
                <w:rFonts w:ascii="Times New Roman" w:hAnsi="Times New Roman" w:cs="Times New Roman"/>
                <w:sz w:val="22"/>
                <w:szCs w:val="22"/>
              </w:rPr>
            </w:pPr>
            <w:r w:rsidRPr="007C10D2">
              <w:rPr>
                <w:rFonts w:ascii="Times New Roman" w:hAnsi="Times New Roman" w:cs="Times New Roman"/>
                <w:sz w:val="22"/>
                <w:szCs w:val="22"/>
              </w:rPr>
              <w:t>Strona www. Banku</w:t>
            </w:r>
          </w:p>
        </w:tc>
        <w:tc>
          <w:tcPr>
            <w:tcW w:w="1843" w:type="dxa"/>
          </w:tcPr>
          <w:p w14:paraId="2003BC20" w14:textId="50D79512" w:rsidR="008530E8" w:rsidRPr="007C10D2" w:rsidRDefault="00181005" w:rsidP="005A7812">
            <w:pPr>
              <w:rPr>
                <w:rFonts w:ascii="Times New Roman" w:hAnsi="Times New Roman" w:cs="Times New Roman"/>
                <w:sz w:val="22"/>
                <w:szCs w:val="22"/>
              </w:rPr>
            </w:pPr>
            <w:r w:rsidRPr="007C10D2">
              <w:rPr>
                <w:rFonts w:ascii="Times New Roman" w:hAnsi="Times New Roman" w:cs="Times New Roman"/>
                <w:sz w:val="22"/>
                <w:szCs w:val="22"/>
              </w:rPr>
              <w:t>Dane jakościowe – na bieżąco, wskaźniki - w</w:t>
            </w:r>
            <w:r w:rsidR="008530E8" w:rsidRPr="007C10D2">
              <w:rPr>
                <w:rFonts w:ascii="Times New Roman" w:hAnsi="Times New Roman" w:cs="Times New Roman"/>
                <w:sz w:val="22"/>
                <w:szCs w:val="22"/>
              </w:rPr>
              <w:t xml:space="preserve"> terminie publikacji sprawozdania finansowego</w:t>
            </w:r>
          </w:p>
        </w:tc>
      </w:tr>
      <w:tr w:rsidR="007C10D2" w:rsidRPr="007C10D2" w14:paraId="044F16C0" w14:textId="77777777" w:rsidTr="005A7812">
        <w:tc>
          <w:tcPr>
            <w:tcW w:w="637" w:type="dxa"/>
          </w:tcPr>
          <w:p w14:paraId="1C5C34F2" w14:textId="77777777" w:rsidR="008530E8" w:rsidRPr="007C10D2" w:rsidRDefault="008530E8" w:rsidP="00B06E6D">
            <w:pPr>
              <w:numPr>
                <w:ilvl w:val="0"/>
                <w:numId w:val="15"/>
              </w:numPr>
              <w:jc w:val="center"/>
              <w:rPr>
                <w:rFonts w:ascii="Times New Roman" w:hAnsi="Times New Roman" w:cs="Times New Roman"/>
                <w:sz w:val="22"/>
                <w:szCs w:val="22"/>
              </w:rPr>
            </w:pPr>
          </w:p>
        </w:tc>
        <w:tc>
          <w:tcPr>
            <w:tcW w:w="7938" w:type="dxa"/>
          </w:tcPr>
          <w:p w14:paraId="1867FBC3" w14:textId="0F2DD203" w:rsidR="008530E8" w:rsidRPr="007C10D2" w:rsidRDefault="008530E8" w:rsidP="005A7812">
            <w:pPr>
              <w:rPr>
                <w:rFonts w:ascii="Times New Roman" w:hAnsi="Times New Roman" w:cs="Times New Roman"/>
                <w:sz w:val="22"/>
                <w:szCs w:val="22"/>
              </w:rPr>
            </w:pPr>
            <w:r w:rsidRPr="007C10D2">
              <w:rPr>
                <w:rFonts w:ascii="Times New Roman" w:hAnsi="Times New Roman" w:cs="Times New Roman"/>
                <w:sz w:val="22"/>
                <w:szCs w:val="22"/>
              </w:rPr>
              <w:t>Opis Systemu kontroli wewnętrznej</w:t>
            </w:r>
            <w:r w:rsidR="002A537E" w:rsidRPr="007C10D2">
              <w:rPr>
                <w:rFonts w:ascii="Times New Roman" w:hAnsi="Times New Roman" w:cs="Times New Roman"/>
                <w:sz w:val="22"/>
                <w:szCs w:val="22"/>
              </w:rPr>
              <w:t xml:space="preserve"> (Rekomendacja H</w:t>
            </w:r>
            <w:r w:rsidR="0077745E" w:rsidRPr="007C10D2">
              <w:rPr>
                <w:rFonts w:ascii="Times New Roman" w:hAnsi="Times New Roman" w:cs="Times New Roman"/>
                <w:sz w:val="22"/>
                <w:szCs w:val="22"/>
              </w:rPr>
              <w:t xml:space="preserve"> oraz</w:t>
            </w:r>
            <w:r w:rsidR="000C26BB" w:rsidRPr="007C10D2">
              <w:rPr>
                <w:rFonts w:ascii="Times New Roman" w:hAnsi="Times New Roman" w:cs="Times New Roman"/>
                <w:sz w:val="22"/>
                <w:szCs w:val="22"/>
              </w:rPr>
              <w:t xml:space="preserve"> art. 111a ust. 4 Ustawy Prawo bankowe </w:t>
            </w:r>
            <w:r w:rsidR="002A537E" w:rsidRPr="007C10D2">
              <w:rPr>
                <w:rFonts w:ascii="Times New Roman" w:hAnsi="Times New Roman" w:cs="Times New Roman"/>
                <w:sz w:val="22"/>
                <w:szCs w:val="22"/>
              </w:rPr>
              <w:t>)</w:t>
            </w:r>
          </w:p>
        </w:tc>
        <w:tc>
          <w:tcPr>
            <w:tcW w:w="1843" w:type="dxa"/>
          </w:tcPr>
          <w:p w14:paraId="68322521" w14:textId="155C56AC" w:rsidR="008530E8" w:rsidRPr="007C10D2" w:rsidRDefault="00D661A7" w:rsidP="005A7812">
            <w:pPr>
              <w:jc w:val="center"/>
              <w:rPr>
                <w:rFonts w:ascii="Times New Roman" w:hAnsi="Times New Roman" w:cs="Times New Roman"/>
                <w:sz w:val="22"/>
                <w:szCs w:val="22"/>
              </w:rPr>
            </w:pPr>
            <w:r w:rsidRPr="007C10D2">
              <w:rPr>
                <w:rFonts w:ascii="Times New Roman" w:hAnsi="Times New Roman" w:cs="Times New Roman"/>
                <w:sz w:val="22"/>
                <w:szCs w:val="22"/>
              </w:rPr>
              <w:t>Stanowisko</w:t>
            </w:r>
            <w:r w:rsidR="005044C5" w:rsidRPr="007C10D2">
              <w:rPr>
                <w:rFonts w:ascii="Times New Roman" w:hAnsi="Times New Roman" w:cs="Times New Roman"/>
                <w:sz w:val="22"/>
                <w:szCs w:val="22"/>
              </w:rPr>
              <w:t xml:space="preserve"> ds. zgodności</w:t>
            </w:r>
            <w:r w:rsidR="00A43D83">
              <w:rPr>
                <w:rFonts w:ascii="Times New Roman" w:hAnsi="Times New Roman" w:cs="Times New Roman"/>
                <w:sz w:val="22"/>
                <w:szCs w:val="22"/>
              </w:rPr>
              <w:t xml:space="preserve"> i kontroli wewnętrznej</w:t>
            </w:r>
          </w:p>
        </w:tc>
        <w:tc>
          <w:tcPr>
            <w:tcW w:w="1843" w:type="dxa"/>
          </w:tcPr>
          <w:p w14:paraId="66C75327" w14:textId="77777777" w:rsidR="008530E8" w:rsidRPr="007C10D2" w:rsidRDefault="008530E8" w:rsidP="005A7812">
            <w:pPr>
              <w:rPr>
                <w:rFonts w:ascii="Times New Roman" w:hAnsi="Times New Roman" w:cs="Times New Roman"/>
                <w:sz w:val="22"/>
                <w:szCs w:val="22"/>
              </w:rPr>
            </w:pPr>
            <w:r w:rsidRPr="007C10D2">
              <w:rPr>
                <w:rFonts w:ascii="Times New Roman" w:hAnsi="Times New Roman" w:cs="Times New Roman"/>
                <w:sz w:val="22"/>
                <w:szCs w:val="22"/>
              </w:rPr>
              <w:t>Strona www. Banku</w:t>
            </w:r>
          </w:p>
        </w:tc>
        <w:tc>
          <w:tcPr>
            <w:tcW w:w="1843" w:type="dxa"/>
          </w:tcPr>
          <w:p w14:paraId="07CDFC27" w14:textId="77777777" w:rsidR="008530E8" w:rsidRPr="007C10D2" w:rsidRDefault="008530E8" w:rsidP="005A7812">
            <w:pPr>
              <w:rPr>
                <w:rFonts w:ascii="Times New Roman" w:hAnsi="Times New Roman" w:cs="Times New Roman"/>
                <w:sz w:val="22"/>
                <w:szCs w:val="22"/>
              </w:rPr>
            </w:pPr>
            <w:r w:rsidRPr="007C10D2">
              <w:rPr>
                <w:rFonts w:ascii="Times New Roman" w:hAnsi="Times New Roman" w:cs="Times New Roman"/>
                <w:sz w:val="22"/>
                <w:szCs w:val="22"/>
              </w:rPr>
              <w:t>Na bieżąco</w:t>
            </w:r>
          </w:p>
        </w:tc>
      </w:tr>
      <w:tr w:rsidR="007C10D2" w:rsidRPr="007C10D2" w14:paraId="6D95229E" w14:textId="77777777" w:rsidTr="005A7812">
        <w:tc>
          <w:tcPr>
            <w:tcW w:w="637" w:type="dxa"/>
          </w:tcPr>
          <w:p w14:paraId="550E6B83" w14:textId="77777777" w:rsidR="00C108BF" w:rsidRPr="007C10D2" w:rsidRDefault="00C108BF" w:rsidP="00B06E6D">
            <w:pPr>
              <w:numPr>
                <w:ilvl w:val="0"/>
                <w:numId w:val="15"/>
              </w:numPr>
              <w:jc w:val="center"/>
              <w:rPr>
                <w:rFonts w:ascii="Times New Roman" w:hAnsi="Times New Roman" w:cs="Times New Roman"/>
                <w:sz w:val="22"/>
                <w:szCs w:val="22"/>
              </w:rPr>
            </w:pPr>
          </w:p>
        </w:tc>
        <w:tc>
          <w:tcPr>
            <w:tcW w:w="7938" w:type="dxa"/>
          </w:tcPr>
          <w:p w14:paraId="63899A63" w14:textId="00DBB7D1" w:rsidR="0005085F" w:rsidRPr="007C10D2" w:rsidRDefault="00E22361" w:rsidP="00C108BF">
            <w:pPr>
              <w:rPr>
                <w:rFonts w:ascii="Times New Roman" w:hAnsi="Times New Roman" w:cs="Times New Roman"/>
                <w:snapToGrid w:val="0"/>
                <w:sz w:val="22"/>
                <w:szCs w:val="22"/>
              </w:rPr>
            </w:pPr>
            <w:r w:rsidRPr="007C10D2">
              <w:rPr>
                <w:rFonts w:ascii="Times New Roman" w:hAnsi="Times New Roman" w:cs="Times New Roman"/>
                <w:snapToGrid w:val="0"/>
                <w:sz w:val="22"/>
                <w:szCs w:val="22"/>
              </w:rPr>
              <w:t xml:space="preserve">Na podstawie Rekomendacji </w:t>
            </w:r>
            <w:r w:rsidR="00D97785" w:rsidRPr="007C10D2">
              <w:rPr>
                <w:rFonts w:ascii="Times New Roman" w:hAnsi="Times New Roman" w:cs="Times New Roman"/>
                <w:snapToGrid w:val="0"/>
                <w:sz w:val="22"/>
                <w:szCs w:val="22"/>
              </w:rPr>
              <w:t>Z:</w:t>
            </w:r>
          </w:p>
          <w:p w14:paraId="675673FF" w14:textId="6D452B3B" w:rsidR="00C108BF" w:rsidRPr="007C10D2" w:rsidRDefault="0005085F" w:rsidP="0005085F">
            <w:pPr>
              <w:pStyle w:val="Akapitzlist"/>
              <w:numPr>
                <w:ilvl w:val="1"/>
                <w:numId w:val="3"/>
              </w:numPr>
              <w:rPr>
                <w:sz w:val="22"/>
                <w:szCs w:val="22"/>
              </w:rPr>
            </w:pPr>
            <w:r w:rsidRPr="007C10D2">
              <w:rPr>
                <w:snapToGrid w:val="0"/>
                <w:sz w:val="22"/>
                <w:szCs w:val="22"/>
              </w:rPr>
              <w:t xml:space="preserve">Rekomendacja </w:t>
            </w:r>
            <w:r w:rsidR="00E22361" w:rsidRPr="007C10D2">
              <w:rPr>
                <w:snapToGrid w:val="0"/>
                <w:sz w:val="22"/>
                <w:szCs w:val="22"/>
              </w:rPr>
              <w:t>Z/30.1:</w:t>
            </w:r>
            <w:r w:rsidRPr="007C10D2">
              <w:rPr>
                <w:snapToGrid w:val="0"/>
                <w:sz w:val="22"/>
                <w:szCs w:val="22"/>
              </w:rPr>
              <w:t xml:space="preserve"> </w:t>
            </w:r>
            <w:r w:rsidR="00E22361" w:rsidRPr="007C10D2">
              <w:rPr>
                <w:snapToGrid w:val="0"/>
                <w:sz w:val="22"/>
                <w:szCs w:val="22"/>
              </w:rPr>
              <w:t>O</w:t>
            </w:r>
            <w:r w:rsidR="007003F3" w:rsidRPr="007C10D2">
              <w:rPr>
                <w:snapToGrid w:val="0"/>
                <w:sz w:val="22"/>
                <w:szCs w:val="22"/>
              </w:rPr>
              <w:t xml:space="preserve">kreślony w zasadach wynagradzania Banku </w:t>
            </w:r>
            <w:bookmarkStart w:id="3" w:name="_Hlk90029319"/>
            <w:r w:rsidR="007003F3" w:rsidRPr="007C10D2">
              <w:rPr>
                <w:snapToGrid w:val="0"/>
                <w:sz w:val="22"/>
                <w:szCs w:val="22"/>
              </w:rPr>
              <w:t>maksymalny stosunek średniego całkowitego wynagrodzenia brutto członków zarządu w okresie rocznym do średniego całkowitego wynagrodzenia brutto pozostałych pracowników w okresie rocznym</w:t>
            </w:r>
            <w:bookmarkEnd w:id="3"/>
            <w:r w:rsidR="007003F3" w:rsidRPr="007C10D2">
              <w:rPr>
                <w:snapToGrid w:val="0"/>
                <w:sz w:val="22"/>
                <w:szCs w:val="22"/>
              </w:rPr>
              <w:t xml:space="preserve">, zgodnie z rekomendacją 30.1 Rekomendacji </w:t>
            </w:r>
            <w:r w:rsidR="00D97785" w:rsidRPr="007C10D2">
              <w:rPr>
                <w:snapToGrid w:val="0"/>
                <w:sz w:val="22"/>
                <w:szCs w:val="22"/>
              </w:rPr>
              <w:t>Z</w:t>
            </w:r>
            <w:r w:rsidR="00B329A6" w:rsidRPr="007C10D2">
              <w:rPr>
                <w:snapToGrid w:val="0"/>
                <w:sz w:val="22"/>
                <w:szCs w:val="22"/>
              </w:rPr>
              <w:t xml:space="preserve"> – w Polityce wynagradzania.</w:t>
            </w:r>
          </w:p>
          <w:p w14:paraId="2AAF9EB8" w14:textId="7AAFAFE2" w:rsidR="00D97785" w:rsidRPr="007C10D2" w:rsidRDefault="00D97785" w:rsidP="0005085F">
            <w:pPr>
              <w:pStyle w:val="Akapitzlist"/>
              <w:numPr>
                <w:ilvl w:val="1"/>
                <w:numId w:val="3"/>
              </w:numPr>
              <w:rPr>
                <w:sz w:val="22"/>
                <w:szCs w:val="22"/>
              </w:rPr>
            </w:pPr>
            <w:r w:rsidRPr="007C10D2">
              <w:rPr>
                <w:snapToGrid w:val="0"/>
                <w:sz w:val="22"/>
                <w:szCs w:val="22"/>
              </w:rPr>
              <w:t>Rekomendacja Z/13.6 – Polityka zarządzania konfliktem interesów.</w:t>
            </w:r>
          </w:p>
        </w:tc>
        <w:tc>
          <w:tcPr>
            <w:tcW w:w="1843" w:type="dxa"/>
          </w:tcPr>
          <w:p w14:paraId="2E68B982" w14:textId="77777777" w:rsidR="00C108BF" w:rsidRPr="007C10D2" w:rsidRDefault="00C108BF" w:rsidP="00C108BF">
            <w:pPr>
              <w:jc w:val="center"/>
              <w:rPr>
                <w:rFonts w:ascii="Times New Roman" w:hAnsi="Times New Roman" w:cs="Times New Roman"/>
                <w:sz w:val="22"/>
                <w:szCs w:val="22"/>
              </w:rPr>
            </w:pPr>
          </w:p>
          <w:p w14:paraId="02A180B4" w14:textId="77777777" w:rsidR="00C108BF" w:rsidRPr="007C10D2" w:rsidRDefault="00C108BF" w:rsidP="00C108BF">
            <w:pPr>
              <w:jc w:val="center"/>
              <w:rPr>
                <w:rFonts w:ascii="Times New Roman" w:hAnsi="Times New Roman" w:cs="Times New Roman"/>
                <w:sz w:val="22"/>
                <w:szCs w:val="22"/>
              </w:rPr>
            </w:pPr>
            <w:r w:rsidRPr="007C10D2">
              <w:rPr>
                <w:rFonts w:ascii="Times New Roman" w:hAnsi="Times New Roman" w:cs="Times New Roman"/>
                <w:sz w:val="22"/>
                <w:szCs w:val="22"/>
              </w:rPr>
              <w:t>Zespół org-</w:t>
            </w:r>
            <w:proofErr w:type="spellStart"/>
            <w:r w:rsidRPr="007C10D2">
              <w:rPr>
                <w:rFonts w:ascii="Times New Roman" w:hAnsi="Times New Roman" w:cs="Times New Roman"/>
                <w:sz w:val="22"/>
                <w:szCs w:val="22"/>
              </w:rPr>
              <w:t>adm</w:t>
            </w:r>
            <w:proofErr w:type="spellEnd"/>
          </w:p>
        </w:tc>
        <w:tc>
          <w:tcPr>
            <w:tcW w:w="1843" w:type="dxa"/>
          </w:tcPr>
          <w:p w14:paraId="08D33004" w14:textId="77777777" w:rsidR="00C108BF" w:rsidRPr="007C10D2" w:rsidRDefault="00C108BF" w:rsidP="00C108BF">
            <w:pPr>
              <w:rPr>
                <w:rFonts w:ascii="Times New Roman" w:hAnsi="Times New Roman" w:cs="Times New Roman"/>
                <w:sz w:val="22"/>
                <w:szCs w:val="22"/>
              </w:rPr>
            </w:pPr>
          </w:p>
          <w:p w14:paraId="28E5CCE5" w14:textId="35AF19B5" w:rsidR="00C108BF" w:rsidRPr="007C10D2" w:rsidRDefault="00A51511" w:rsidP="00DD4908">
            <w:pPr>
              <w:rPr>
                <w:rFonts w:ascii="Times New Roman" w:hAnsi="Times New Roman" w:cs="Times New Roman"/>
                <w:sz w:val="22"/>
                <w:szCs w:val="22"/>
              </w:rPr>
            </w:pPr>
            <w:r w:rsidRPr="007C10D2">
              <w:rPr>
                <w:rFonts w:ascii="Times New Roman" w:hAnsi="Times New Roman" w:cs="Times New Roman"/>
                <w:sz w:val="22"/>
                <w:szCs w:val="22"/>
              </w:rPr>
              <w:t>Strona www. Banku</w:t>
            </w:r>
          </w:p>
        </w:tc>
        <w:tc>
          <w:tcPr>
            <w:tcW w:w="1843" w:type="dxa"/>
          </w:tcPr>
          <w:p w14:paraId="6E4BD0C6" w14:textId="119AE685" w:rsidR="00C108BF" w:rsidRPr="007C10D2" w:rsidRDefault="00E22361" w:rsidP="00C108BF">
            <w:pPr>
              <w:rPr>
                <w:rFonts w:ascii="Times New Roman" w:hAnsi="Times New Roman" w:cs="Times New Roman"/>
                <w:sz w:val="22"/>
                <w:szCs w:val="22"/>
              </w:rPr>
            </w:pPr>
            <w:r w:rsidRPr="007C10D2">
              <w:rPr>
                <w:rFonts w:ascii="Times New Roman" w:hAnsi="Times New Roman" w:cs="Times New Roman"/>
                <w:sz w:val="22"/>
                <w:szCs w:val="22"/>
              </w:rPr>
              <w:t>Od 01 stycznia każdego roku</w:t>
            </w:r>
          </w:p>
        </w:tc>
      </w:tr>
      <w:tr w:rsidR="007C10D2" w:rsidRPr="007C10D2" w14:paraId="38D7571A" w14:textId="77777777" w:rsidTr="005A7812">
        <w:tc>
          <w:tcPr>
            <w:tcW w:w="637" w:type="dxa"/>
          </w:tcPr>
          <w:p w14:paraId="6377F0B3" w14:textId="77777777" w:rsidR="00C108BF" w:rsidRPr="007C10D2" w:rsidRDefault="00C108BF" w:rsidP="00B06E6D">
            <w:pPr>
              <w:numPr>
                <w:ilvl w:val="0"/>
                <w:numId w:val="15"/>
              </w:numPr>
              <w:jc w:val="center"/>
              <w:rPr>
                <w:rFonts w:ascii="Times New Roman" w:hAnsi="Times New Roman" w:cs="Times New Roman"/>
                <w:sz w:val="22"/>
                <w:szCs w:val="22"/>
              </w:rPr>
            </w:pPr>
          </w:p>
        </w:tc>
        <w:tc>
          <w:tcPr>
            <w:tcW w:w="7938" w:type="dxa"/>
          </w:tcPr>
          <w:p w14:paraId="14D5D081" w14:textId="709FB605" w:rsidR="007003F3" w:rsidRPr="007C10D2" w:rsidRDefault="007003F3" w:rsidP="00C108BF">
            <w:pPr>
              <w:pStyle w:val="Default"/>
              <w:rPr>
                <w:snapToGrid w:val="0"/>
                <w:color w:val="auto"/>
                <w:sz w:val="22"/>
                <w:szCs w:val="22"/>
              </w:rPr>
            </w:pPr>
            <w:r w:rsidRPr="007C10D2">
              <w:rPr>
                <w:snapToGrid w:val="0"/>
                <w:color w:val="auto"/>
                <w:sz w:val="22"/>
                <w:szCs w:val="22"/>
              </w:rPr>
              <w:t>Rekomendacja M:</w:t>
            </w:r>
          </w:p>
          <w:p w14:paraId="0B59F3B9" w14:textId="7C459799" w:rsidR="00C108BF" w:rsidRPr="007C10D2" w:rsidRDefault="00C108BF" w:rsidP="00C108BF">
            <w:pPr>
              <w:pStyle w:val="Default"/>
              <w:rPr>
                <w:color w:val="auto"/>
                <w:sz w:val="22"/>
                <w:szCs w:val="22"/>
              </w:rPr>
            </w:pPr>
            <w:r w:rsidRPr="007C10D2">
              <w:rPr>
                <w:snapToGrid w:val="0"/>
                <w:color w:val="auto"/>
                <w:sz w:val="22"/>
                <w:szCs w:val="22"/>
              </w:rPr>
              <w:t xml:space="preserve">Informacja o </w:t>
            </w:r>
            <w:r w:rsidRPr="007C10D2">
              <w:rPr>
                <w:color w:val="auto"/>
                <w:sz w:val="22"/>
                <w:szCs w:val="22"/>
              </w:rPr>
              <w:t xml:space="preserve">sumach strat brutto z tytułu ryzyka operacyjnego odnotowanych w danym roku, w podziale na klasy zdarzeń, w tym co najmniej w podziale na kategorie zdarzeń w ramach rodzaju zdarzenia (zgodnie z załącznikiem nr 1 do Instrukcji zarządzania ryzykiem operacyjnym), oraz o tym, jakie działania mitygujące w związku z tym zostały podjęte w celu uniknięcia ich w przyszłości </w:t>
            </w:r>
          </w:p>
          <w:p w14:paraId="14E7BAE1" w14:textId="77777777" w:rsidR="00C108BF" w:rsidRPr="007C10D2" w:rsidRDefault="00C108BF" w:rsidP="00C108BF">
            <w:pPr>
              <w:widowControl w:val="0"/>
              <w:rPr>
                <w:rFonts w:ascii="Times New Roman" w:hAnsi="Times New Roman" w:cs="Times New Roman"/>
                <w:snapToGrid w:val="0"/>
                <w:sz w:val="22"/>
                <w:szCs w:val="22"/>
              </w:rPr>
            </w:pPr>
          </w:p>
          <w:p w14:paraId="18F905D5" w14:textId="77777777" w:rsidR="00C108BF" w:rsidRPr="007C10D2" w:rsidRDefault="00C108BF" w:rsidP="00C108BF">
            <w:pPr>
              <w:widowControl w:val="0"/>
              <w:rPr>
                <w:rFonts w:ascii="Times New Roman" w:hAnsi="Times New Roman" w:cs="Times New Roman"/>
                <w:snapToGrid w:val="0"/>
                <w:sz w:val="22"/>
                <w:szCs w:val="22"/>
              </w:rPr>
            </w:pPr>
            <w:r w:rsidRPr="007C10D2">
              <w:rPr>
                <w:rFonts w:ascii="Times New Roman" w:hAnsi="Times New Roman" w:cs="Times New Roman"/>
                <w:snapToGrid w:val="0"/>
                <w:sz w:val="22"/>
                <w:szCs w:val="22"/>
              </w:rPr>
              <w:lastRenderedPageBreak/>
              <w:t xml:space="preserve">Informacja o </w:t>
            </w:r>
            <w:r w:rsidRPr="007C10D2">
              <w:rPr>
                <w:rFonts w:ascii="Times New Roman" w:hAnsi="Times New Roman" w:cs="Times New Roman"/>
                <w:sz w:val="22"/>
                <w:szCs w:val="22"/>
              </w:rPr>
              <w:t>najpoważniejszych zdarzeniach operacyjnych, jakie wystąpiły w minionym roku – według uznania Banku.</w:t>
            </w:r>
          </w:p>
          <w:p w14:paraId="246189C8" w14:textId="77777777" w:rsidR="00D4795E" w:rsidRPr="007C10D2" w:rsidRDefault="00D4795E" w:rsidP="00C108BF">
            <w:pPr>
              <w:rPr>
                <w:rFonts w:ascii="Times New Roman" w:hAnsi="Times New Roman" w:cs="Times New Roman"/>
                <w:snapToGrid w:val="0"/>
                <w:sz w:val="22"/>
                <w:szCs w:val="22"/>
              </w:rPr>
            </w:pPr>
          </w:p>
        </w:tc>
        <w:tc>
          <w:tcPr>
            <w:tcW w:w="1843" w:type="dxa"/>
          </w:tcPr>
          <w:p w14:paraId="4CEF897C" w14:textId="77777777" w:rsidR="00C108BF" w:rsidRPr="007C10D2" w:rsidRDefault="00C108BF" w:rsidP="00C108BF">
            <w:pPr>
              <w:jc w:val="center"/>
              <w:rPr>
                <w:rFonts w:ascii="Times New Roman" w:hAnsi="Times New Roman" w:cs="Times New Roman"/>
                <w:sz w:val="22"/>
                <w:szCs w:val="22"/>
              </w:rPr>
            </w:pPr>
            <w:r w:rsidRPr="007C10D2">
              <w:rPr>
                <w:rFonts w:ascii="Times New Roman" w:hAnsi="Times New Roman" w:cs="Times New Roman"/>
                <w:sz w:val="22"/>
                <w:szCs w:val="22"/>
              </w:rPr>
              <w:lastRenderedPageBreak/>
              <w:t xml:space="preserve">Zespół zarządzania </w:t>
            </w:r>
            <w:proofErr w:type="spellStart"/>
            <w:r w:rsidRPr="007C10D2">
              <w:rPr>
                <w:rFonts w:ascii="Times New Roman" w:hAnsi="Times New Roman" w:cs="Times New Roman"/>
                <w:sz w:val="22"/>
                <w:szCs w:val="22"/>
              </w:rPr>
              <w:t>ryzykami</w:t>
            </w:r>
            <w:proofErr w:type="spellEnd"/>
            <w:r w:rsidRPr="007C10D2">
              <w:rPr>
                <w:rFonts w:ascii="Times New Roman" w:hAnsi="Times New Roman" w:cs="Times New Roman"/>
                <w:sz w:val="22"/>
                <w:szCs w:val="22"/>
              </w:rPr>
              <w:t xml:space="preserve"> i analiz</w:t>
            </w:r>
          </w:p>
          <w:p w14:paraId="1C7A2CFF" w14:textId="77777777" w:rsidR="00C108BF" w:rsidRPr="007C10D2" w:rsidRDefault="00C108BF" w:rsidP="00C108BF">
            <w:pPr>
              <w:jc w:val="center"/>
              <w:rPr>
                <w:rFonts w:ascii="Times New Roman" w:hAnsi="Times New Roman" w:cs="Times New Roman"/>
                <w:sz w:val="22"/>
                <w:szCs w:val="22"/>
              </w:rPr>
            </w:pPr>
          </w:p>
          <w:p w14:paraId="161CE90A" w14:textId="77777777" w:rsidR="00C108BF" w:rsidRPr="007C10D2" w:rsidRDefault="00C108BF" w:rsidP="00C108BF">
            <w:pPr>
              <w:jc w:val="center"/>
              <w:rPr>
                <w:rFonts w:ascii="Times New Roman" w:hAnsi="Times New Roman" w:cs="Times New Roman"/>
                <w:sz w:val="22"/>
                <w:szCs w:val="22"/>
              </w:rPr>
            </w:pPr>
          </w:p>
          <w:p w14:paraId="6E24D329" w14:textId="77777777" w:rsidR="00C108BF" w:rsidRPr="007C10D2" w:rsidRDefault="00C108BF" w:rsidP="00C108BF">
            <w:pPr>
              <w:jc w:val="center"/>
              <w:rPr>
                <w:rFonts w:ascii="Times New Roman" w:hAnsi="Times New Roman" w:cs="Times New Roman"/>
                <w:sz w:val="22"/>
                <w:szCs w:val="22"/>
              </w:rPr>
            </w:pPr>
          </w:p>
          <w:p w14:paraId="15C5C462" w14:textId="77777777" w:rsidR="00C108BF" w:rsidRPr="007C10D2" w:rsidRDefault="00C108BF" w:rsidP="00C108BF">
            <w:pPr>
              <w:jc w:val="center"/>
              <w:rPr>
                <w:rFonts w:ascii="Times New Roman" w:hAnsi="Times New Roman" w:cs="Times New Roman"/>
                <w:sz w:val="22"/>
                <w:szCs w:val="22"/>
              </w:rPr>
            </w:pPr>
          </w:p>
          <w:p w14:paraId="5F0B9A13" w14:textId="77777777" w:rsidR="00C108BF" w:rsidRPr="007C10D2" w:rsidRDefault="00C108BF" w:rsidP="00C108BF">
            <w:pPr>
              <w:jc w:val="center"/>
              <w:rPr>
                <w:rFonts w:ascii="Times New Roman" w:hAnsi="Times New Roman" w:cs="Times New Roman"/>
                <w:sz w:val="22"/>
                <w:szCs w:val="22"/>
              </w:rPr>
            </w:pPr>
          </w:p>
        </w:tc>
        <w:tc>
          <w:tcPr>
            <w:tcW w:w="1843" w:type="dxa"/>
          </w:tcPr>
          <w:p w14:paraId="5B22A6C3" w14:textId="790AA059" w:rsidR="00C108BF" w:rsidRPr="007C10D2" w:rsidRDefault="00A51511" w:rsidP="00C108BF">
            <w:pPr>
              <w:rPr>
                <w:rFonts w:ascii="Times New Roman" w:hAnsi="Times New Roman" w:cs="Times New Roman"/>
                <w:sz w:val="22"/>
                <w:szCs w:val="22"/>
              </w:rPr>
            </w:pPr>
            <w:r w:rsidRPr="007C10D2">
              <w:rPr>
                <w:rFonts w:ascii="Times New Roman" w:hAnsi="Times New Roman" w:cs="Times New Roman"/>
                <w:sz w:val="22"/>
                <w:szCs w:val="22"/>
              </w:rPr>
              <w:t>Strona www. Banku</w:t>
            </w:r>
          </w:p>
        </w:tc>
        <w:tc>
          <w:tcPr>
            <w:tcW w:w="1843" w:type="dxa"/>
          </w:tcPr>
          <w:p w14:paraId="5B647B34" w14:textId="77777777" w:rsidR="00C108BF" w:rsidRPr="007C10D2" w:rsidRDefault="00C108BF" w:rsidP="00C108BF">
            <w:pPr>
              <w:rPr>
                <w:rFonts w:ascii="Times New Roman" w:hAnsi="Times New Roman" w:cs="Times New Roman"/>
                <w:sz w:val="22"/>
                <w:szCs w:val="22"/>
              </w:rPr>
            </w:pPr>
            <w:r w:rsidRPr="007C10D2">
              <w:rPr>
                <w:rFonts w:ascii="Times New Roman" w:hAnsi="Times New Roman" w:cs="Times New Roman"/>
                <w:sz w:val="22"/>
                <w:szCs w:val="22"/>
              </w:rPr>
              <w:t>W terminie publikacji sprawozdania finansowego</w:t>
            </w:r>
          </w:p>
        </w:tc>
      </w:tr>
      <w:tr w:rsidR="007C10D2" w:rsidRPr="007C10D2" w14:paraId="41F55659" w14:textId="77777777" w:rsidTr="005A7812">
        <w:tc>
          <w:tcPr>
            <w:tcW w:w="637" w:type="dxa"/>
          </w:tcPr>
          <w:p w14:paraId="383558C9" w14:textId="77777777" w:rsidR="00B94305" w:rsidRPr="007C10D2" w:rsidRDefault="00B94305" w:rsidP="00B06E6D">
            <w:pPr>
              <w:numPr>
                <w:ilvl w:val="0"/>
                <w:numId w:val="15"/>
              </w:numPr>
              <w:jc w:val="center"/>
              <w:rPr>
                <w:rFonts w:ascii="Times New Roman" w:hAnsi="Times New Roman" w:cs="Times New Roman"/>
                <w:sz w:val="22"/>
                <w:szCs w:val="22"/>
              </w:rPr>
            </w:pPr>
          </w:p>
        </w:tc>
        <w:tc>
          <w:tcPr>
            <w:tcW w:w="7938" w:type="dxa"/>
          </w:tcPr>
          <w:p w14:paraId="565FE1D2" w14:textId="25251FD3" w:rsidR="00A77A86" w:rsidRPr="007C10D2" w:rsidRDefault="00A77A86" w:rsidP="00A77A86">
            <w:pPr>
              <w:rPr>
                <w:rFonts w:ascii="Times New Roman" w:hAnsi="Times New Roman" w:cs="Times New Roman"/>
                <w:sz w:val="22"/>
                <w:szCs w:val="22"/>
              </w:rPr>
            </w:pPr>
            <w:r w:rsidRPr="007C10D2">
              <w:rPr>
                <w:rFonts w:ascii="Times New Roman" w:hAnsi="Times New Roman" w:cs="Times New Roman"/>
                <w:sz w:val="22"/>
                <w:szCs w:val="22"/>
              </w:rPr>
              <w:t>Informacje ujawniane zgodnie z zapisami art. 433b</w:t>
            </w:r>
            <w:r w:rsidR="00BD1D6F" w:rsidRPr="007C10D2">
              <w:rPr>
                <w:rFonts w:ascii="Times New Roman" w:hAnsi="Times New Roman" w:cs="Times New Roman"/>
                <w:sz w:val="22"/>
                <w:szCs w:val="22"/>
              </w:rPr>
              <w:t xml:space="preserve"> ust. 2</w:t>
            </w:r>
            <w:r w:rsidRPr="007C10D2">
              <w:rPr>
                <w:rFonts w:ascii="Times New Roman" w:hAnsi="Times New Roman" w:cs="Times New Roman"/>
                <w:sz w:val="22"/>
                <w:szCs w:val="22"/>
              </w:rPr>
              <w:t xml:space="preserve">  Rozporządzenia 575/2013: (mała niezłożona instytucja</w:t>
            </w:r>
            <w:r w:rsidR="00BD1D6F" w:rsidRPr="007C10D2">
              <w:rPr>
                <w:rFonts w:ascii="Times New Roman" w:hAnsi="Times New Roman" w:cs="Times New Roman"/>
                <w:sz w:val="22"/>
                <w:szCs w:val="22"/>
              </w:rPr>
              <w:t xml:space="preserve"> - nienotowana</w:t>
            </w:r>
            <w:r w:rsidRPr="007C10D2">
              <w:rPr>
                <w:rFonts w:ascii="Times New Roman" w:hAnsi="Times New Roman" w:cs="Times New Roman"/>
                <w:sz w:val="22"/>
                <w:szCs w:val="22"/>
              </w:rPr>
              <w:t>):</w:t>
            </w:r>
          </w:p>
          <w:p w14:paraId="20863982" w14:textId="77777777" w:rsidR="00BD1D6F" w:rsidRPr="007C10D2" w:rsidRDefault="00BD1D6F" w:rsidP="00BD1D6F">
            <w:pPr>
              <w:rPr>
                <w:rFonts w:ascii="Times New Roman" w:hAnsi="Times New Roman" w:cs="Times New Roman"/>
                <w:sz w:val="22"/>
                <w:szCs w:val="22"/>
              </w:rPr>
            </w:pPr>
            <w:r w:rsidRPr="007C10D2">
              <w:rPr>
                <w:rFonts w:ascii="Times New Roman" w:hAnsi="Times New Roman" w:cs="Times New Roman"/>
                <w:sz w:val="22"/>
                <w:szCs w:val="22"/>
              </w:rPr>
              <w:t>Art. 447:</w:t>
            </w:r>
          </w:p>
          <w:p w14:paraId="5858E354" w14:textId="77777777" w:rsidR="00BD1D6F" w:rsidRPr="007C10D2" w:rsidRDefault="00BD1D6F" w:rsidP="00BD1D6F">
            <w:pPr>
              <w:pStyle w:val="Tekstpodstawowy"/>
              <w:numPr>
                <w:ilvl w:val="1"/>
                <w:numId w:val="38"/>
              </w:numPr>
              <w:autoSpaceDE w:val="0"/>
              <w:autoSpaceDN w:val="0"/>
              <w:adjustRightInd w:val="0"/>
              <w:spacing w:line="264" w:lineRule="auto"/>
              <w:rPr>
                <w:rFonts w:ascii="Times New Roman" w:hAnsi="Times New Roman" w:cs="Times New Roman"/>
                <w:sz w:val="22"/>
                <w:szCs w:val="22"/>
              </w:rPr>
            </w:pPr>
            <w:r w:rsidRPr="007C10D2">
              <w:rPr>
                <w:rFonts w:ascii="Times New Roman" w:hAnsi="Times New Roman" w:cs="Times New Roman"/>
                <w:sz w:val="22"/>
                <w:szCs w:val="22"/>
              </w:rPr>
              <w:t>Ujawnienia struktury funduszy własnych</w:t>
            </w:r>
          </w:p>
          <w:p w14:paraId="6515F118" w14:textId="77777777" w:rsidR="00BD1D6F" w:rsidRPr="007C10D2" w:rsidRDefault="00BD1D6F" w:rsidP="00BD1D6F">
            <w:pPr>
              <w:pStyle w:val="Tekstpodstawowy"/>
              <w:numPr>
                <w:ilvl w:val="1"/>
                <w:numId w:val="38"/>
              </w:numPr>
              <w:autoSpaceDE w:val="0"/>
              <w:autoSpaceDN w:val="0"/>
              <w:adjustRightInd w:val="0"/>
              <w:spacing w:line="264" w:lineRule="auto"/>
              <w:rPr>
                <w:rFonts w:ascii="Times New Roman" w:hAnsi="Times New Roman" w:cs="Times New Roman"/>
                <w:sz w:val="22"/>
                <w:szCs w:val="22"/>
              </w:rPr>
            </w:pPr>
            <w:r w:rsidRPr="007C10D2">
              <w:rPr>
                <w:rFonts w:ascii="Times New Roman" w:hAnsi="Times New Roman" w:cs="Times New Roman"/>
                <w:sz w:val="22"/>
                <w:szCs w:val="22"/>
              </w:rPr>
              <w:t>łączna kwota ekspozycji na ryzyko</w:t>
            </w:r>
          </w:p>
          <w:p w14:paraId="15CF0EEC" w14:textId="77777777" w:rsidR="00BD1D6F" w:rsidRPr="007C10D2" w:rsidRDefault="00BD1D6F" w:rsidP="00BD1D6F">
            <w:pPr>
              <w:pStyle w:val="Tekstpodstawowy"/>
              <w:numPr>
                <w:ilvl w:val="1"/>
                <w:numId w:val="38"/>
              </w:numPr>
              <w:autoSpaceDE w:val="0"/>
              <w:autoSpaceDN w:val="0"/>
              <w:adjustRightInd w:val="0"/>
              <w:spacing w:line="264" w:lineRule="auto"/>
              <w:rPr>
                <w:rFonts w:ascii="Times New Roman" w:hAnsi="Times New Roman" w:cs="Times New Roman"/>
                <w:sz w:val="22"/>
                <w:szCs w:val="22"/>
              </w:rPr>
            </w:pPr>
            <w:r w:rsidRPr="007C10D2">
              <w:rPr>
                <w:rFonts w:ascii="Times New Roman" w:hAnsi="Times New Roman" w:cs="Times New Roman"/>
                <w:sz w:val="22"/>
                <w:szCs w:val="22"/>
              </w:rPr>
              <w:t xml:space="preserve">wymóg połączonego bufora </w:t>
            </w:r>
          </w:p>
          <w:p w14:paraId="437C281C" w14:textId="77777777" w:rsidR="00BD1D6F" w:rsidRPr="007C10D2" w:rsidRDefault="00BD1D6F" w:rsidP="00BD1D6F">
            <w:pPr>
              <w:pStyle w:val="Tekstpodstawowy"/>
              <w:numPr>
                <w:ilvl w:val="1"/>
                <w:numId w:val="38"/>
              </w:numPr>
              <w:autoSpaceDE w:val="0"/>
              <w:autoSpaceDN w:val="0"/>
              <w:adjustRightInd w:val="0"/>
              <w:spacing w:line="264" w:lineRule="auto"/>
              <w:rPr>
                <w:rFonts w:ascii="Times New Roman" w:hAnsi="Times New Roman" w:cs="Times New Roman"/>
                <w:sz w:val="22"/>
                <w:szCs w:val="22"/>
              </w:rPr>
            </w:pPr>
            <w:r w:rsidRPr="007C10D2">
              <w:rPr>
                <w:rFonts w:ascii="Times New Roman" w:hAnsi="Times New Roman" w:cs="Times New Roman"/>
                <w:sz w:val="22"/>
                <w:szCs w:val="22"/>
              </w:rPr>
              <w:t>Ujawnienia w zakresie dźwigni finansowej</w:t>
            </w:r>
          </w:p>
          <w:p w14:paraId="0D1B92BE" w14:textId="77777777" w:rsidR="00BD1D6F" w:rsidRPr="007C10D2" w:rsidRDefault="00BD1D6F" w:rsidP="00BD1D6F">
            <w:pPr>
              <w:pStyle w:val="Tekstpodstawowy"/>
              <w:numPr>
                <w:ilvl w:val="1"/>
                <w:numId w:val="38"/>
              </w:numPr>
              <w:autoSpaceDE w:val="0"/>
              <w:autoSpaceDN w:val="0"/>
              <w:adjustRightInd w:val="0"/>
              <w:spacing w:line="264" w:lineRule="auto"/>
              <w:rPr>
                <w:rFonts w:ascii="Times New Roman" w:hAnsi="Times New Roman" w:cs="Times New Roman"/>
                <w:sz w:val="22"/>
                <w:szCs w:val="22"/>
              </w:rPr>
            </w:pPr>
            <w:r w:rsidRPr="007C10D2">
              <w:rPr>
                <w:rFonts w:ascii="Times New Roman" w:hAnsi="Times New Roman" w:cs="Times New Roman"/>
                <w:sz w:val="22"/>
                <w:szCs w:val="22"/>
              </w:rPr>
              <w:t>informacje w odniesieniu do wskaźnika pokrycia płynności (LCR),</w:t>
            </w:r>
          </w:p>
          <w:p w14:paraId="75D92AF5" w14:textId="77777777" w:rsidR="00BD1D6F" w:rsidRPr="007C10D2" w:rsidRDefault="00BD1D6F" w:rsidP="00BD1D6F">
            <w:pPr>
              <w:pStyle w:val="Tekstpodstawowy"/>
              <w:numPr>
                <w:ilvl w:val="1"/>
                <w:numId w:val="38"/>
              </w:numPr>
              <w:autoSpaceDE w:val="0"/>
              <w:autoSpaceDN w:val="0"/>
              <w:adjustRightInd w:val="0"/>
              <w:spacing w:line="240" w:lineRule="auto"/>
              <w:rPr>
                <w:rFonts w:ascii="Times New Roman" w:hAnsi="Times New Roman" w:cs="Times New Roman"/>
                <w:sz w:val="22"/>
                <w:szCs w:val="22"/>
              </w:rPr>
            </w:pPr>
            <w:r w:rsidRPr="007C10D2">
              <w:rPr>
                <w:rFonts w:ascii="Times New Roman" w:hAnsi="Times New Roman" w:cs="Times New Roman"/>
                <w:sz w:val="22"/>
                <w:szCs w:val="22"/>
              </w:rPr>
              <w:t>informacje związane z wymogiem dotyczącym stabilnego finansowania netto (NSFR).</w:t>
            </w:r>
          </w:p>
          <w:p w14:paraId="169B1421" w14:textId="77777777" w:rsidR="00A77A86" w:rsidRPr="007C10D2" w:rsidRDefault="00A77A86" w:rsidP="00B94305">
            <w:pPr>
              <w:rPr>
                <w:rFonts w:ascii="Times New Roman" w:hAnsi="Times New Roman" w:cs="Times New Roman"/>
                <w:sz w:val="22"/>
                <w:szCs w:val="22"/>
              </w:rPr>
            </w:pPr>
          </w:p>
          <w:p w14:paraId="719BF6C6" w14:textId="0BDBFBFA" w:rsidR="00D647F2" w:rsidRPr="007C10D2" w:rsidRDefault="00D647F2" w:rsidP="00727545">
            <w:pPr>
              <w:tabs>
                <w:tab w:val="left" w:pos="851"/>
              </w:tabs>
              <w:spacing w:before="100" w:beforeAutospacing="1" w:after="100" w:afterAutospacing="1"/>
              <w:ind w:left="851" w:hanging="425"/>
              <w:jc w:val="both"/>
              <w:rPr>
                <w:rFonts w:ascii="Times New Roman" w:hAnsi="Times New Roman" w:cs="Times New Roman"/>
                <w:sz w:val="22"/>
                <w:szCs w:val="22"/>
              </w:rPr>
            </w:pPr>
          </w:p>
        </w:tc>
        <w:tc>
          <w:tcPr>
            <w:tcW w:w="1843" w:type="dxa"/>
          </w:tcPr>
          <w:p w14:paraId="07570F61" w14:textId="77777777" w:rsidR="00B94305" w:rsidRPr="007C10D2" w:rsidRDefault="00B94305" w:rsidP="00B94305">
            <w:pPr>
              <w:jc w:val="center"/>
              <w:rPr>
                <w:rFonts w:ascii="Times New Roman" w:hAnsi="Times New Roman" w:cs="Times New Roman"/>
                <w:sz w:val="22"/>
                <w:szCs w:val="22"/>
              </w:rPr>
            </w:pPr>
            <w:r w:rsidRPr="007C10D2">
              <w:rPr>
                <w:rFonts w:ascii="Times New Roman" w:hAnsi="Times New Roman" w:cs="Times New Roman"/>
                <w:sz w:val="22"/>
                <w:szCs w:val="22"/>
              </w:rPr>
              <w:t xml:space="preserve">Zespół zarządzania </w:t>
            </w:r>
            <w:proofErr w:type="spellStart"/>
            <w:r w:rsidRPr="007C10D2">
              <w:rPr>
                <w:rFonts w:ascii="Times New Roman" w:hAnsi="Times New Roman" w:cs="Times New Roman"/>
                <w:sz w:val="22"/>
                <w:szCs w:val="22"/>
              </w:rPr>
              <w:t>ryzykami</w:t>
            </w:r>
            <w:proofErr w:type="spellEnd"/>
            <w:r w:rsidRPr="007C10D2">
              <w:rPr>
                <w:rFonts w:ascii="Times New Roman" w:hAnsi="Times New Roman" w:cs="Times New Roman"/>
                <w:sz w:val="22"/>
                <w:szCs w:val="22"/>
              </w:rPr>
              <w:t xml:space="preserve"> i analiz</w:t>
            </w:r>
          </w:p>
        </w:tc>
        <w:tc>
          <w:tcPr>
            <w:tcW w:w="1843" w:type="dxa"/>
          </w:tcPr>
          <w:p w14:paraId="31F5C30C" w14:textId="4D7A49CC" w:rsidR="00B94305" w:rsidRPr="007C10D2" w:rsidRDefault="00D66B02" w:rsidP="00B94305">
            <w:pPr>
              <w:rPr>
                <w:rFonts w:ascii="Times New Roman" w:hAnsi="Times New Roman" w:cs="Times New Roman"/>
              </w:rPr>
            </w:pPr>
            <w:r w:rsidRPr="007C10D2">
              <w:rPr>
                <w:rFonts w:ascii="Times New Roman" w:hAnsi="Times New Roman" w:cs="Times New Roman"/>
                <w:sz w:val="22"/>
                <w:szCs w:val="22"/>
              </w:rPr>
              <w:t>Strona www. Banku</w:t>
            </w:r>
          </w:p>
        </w:tc>
        <w:tc>
          <w:tcPr>
            <w:tcW w:w="1843" w:type="dxa"/>
          </w:tcPr>
          <w:p w14:paraId="3C486FC9" w14:textId="77777777" w:rsidR="00B94305" w:rsidRPr="007C10D2" w:rsidRDefault="00B94305" w:rsidP="00B94305">
            <w:pPr>
              <w:rPr>
                <w:rFonts w:ascii="Times New Roman" w:hAnsi="Times New Roman" w:cs="Times New Roman"/>
                <w:sz w:val="22"/>
                <w:szCs w:val="22"/>
              </w:rPr>
            </w:pPr>
            <w:r w:rsidRPr="007C10D2">
              <w:rPr>
                <w:rFonts w:ascii="Times New Roman" w:hAnsi="Times New Roman" w:cs="Times New Roman"/>
                <w:sz w:val="22"/>
                <w:szCs w:val="22"/>
              </w:rPr>
              <w:t>W terminie publikacji sprawozdania finansowego</w:t>
            </w:r>
          </w:p>
        </w:tc>
      </w:tr>
      <w:tr w:rsidR="007C10D2" w:rsidRPr="007C10D2" w14:paraId="32A82854" w14:textId="77777777" w:rsidTr="005A7812">
        <w:tc>
          <w:tcPr>
            <w:tcW w:w="637" w:type="dxa"/>
          </w:tcPr>
          <w:p w14:paraId="25ECFFD8" w14:textId="77777777" w:rsidR="00AD5FDC" w:rsidRPr="007C10D2" w:rsidRDefault="00AD5FDC" w:rsidP="00B06E6D">
            <w:pPr>
              <w:numPr>
                <w:ilvl w:val="0"/>
                <w:numId w:val="15"/>
              </w:numPr>
              <w:jc w:val="center"/>
              <w:rPr>
                <w:rFonts w:ascii="Times New Roman" w:hAnsi="Times New Roman" w:cs="Times New Roman"/>
                <w:sz w:val="22"/>
                <w:szCs w:val="22"/>
              </w:rPr>
            </w:pPr>
          </w:p>
        </w:tc>
        <w:tc>
          <w:tcPr>
            <w:tcW w:w="7938" w:type="dxa"/>
          </w:tcPr>
          <w:p w14:paraId="101FDA7D" w14:textId="77777777" w:rsidR="00AD5FDC" w:rsidRPr="007C10D2" w:rsidRDefault="00AD5FDC" w:rsidP="00AD5FDC">
            <w:pPr>
              <w:pStyle w:val="Tekstpodstawowywcity3"/>
              <w:ind w:left="0"/>
              <w:jc w:val="left"/>
              <w:rPr>
                <w:rFonts w:ascii="Times New Roman" w:hAnsi="Times New Roman" w:cs="Times New Roman"/>
                <w:bCs/>
                <w:sz w:val="22"/>
                <w:szCs w:val="22"/>
              </w:rPr>
            </w:pPr>
            <w:r w:rsidRPr="007C10D2">
              <w:rPr>
                <w:rFonts w:ascii="Times New Roman" w:hAnsi="Times New Roman" w:cs="Times New Roman"/>
                <w:snapToGrid w:val="0"/>
                <w:sz w:val="22"/>
                <w:szCs w:val="22"/>
              </w:rPr>
              <w:t xml:space="preserve">Informacje wymagane przez Zasady ładu korporacyjnego:  </w:t>
            </w:r>
          </w:p>
          <w:p w14:paraId="310D98CB" w14:textId="3155D689" w:rsidR="00AD5FDC" w:rsidRPr="007C10D2" w:rsidRDefault="00AD5FDC" w:rsidP="00B06E6D">
            <w:pPr>
              <w:pStyle w:val="Tekstpodstawowywcity3"/>
              <w:numPr>
                <w:ilvl w:val="0"/>
                <w:numId w:val="21"/>
              </w:numPr>
              <w:rPr>
                <w:rFonts w:ascii="Times New Roman" w:hAnsi="Times New Roman" w:cs="Times New Roman"/>
                <w:bCs/>
                <w:sz w:val="22"/>
                <w:szCs w:val="22"/>
              </w:rPr>
            </w:pPr>
            <w:r w:rsidRPr="007C10D2">
              <w:rPr>
                <w:rFonts w:ascii="Times New Roman" w:hAnsi="Times New Roman" w:cs="Times New Roman"/>
                <w:bCs/>
                <w:sz w:val="22"/>
                <w:szCs w:val="22"/>
              </w:rPr>
              <w:t>Polityk</w:t>
            </w:r>
            <w:r w:rsidR="000C26BB" w:rsidRPr="007C10D2">
              <w:rPr>
                <w:rFonts w:ascii="Times New Roman" w:hAnsi="Times New Roman" w:cs="Times New Roman"/>
                <w:bCs/>
                <w:sz w:val="22"/>
                <w:szCs w:val="22"/>
              </w:rPr>
              <w:t>a</w:t>
            </w:r>
            <w:r w:rsidRPr="007C10D2">
              <w:rPr>
                <w:rFonts w:ascii="Times New Roman" w:hAnsi="Times New Roman" w:cs="Times New Roman"/>
                <w:bCs/>
                <w:sz w:val="22"/>
                <w:szCs w:val="22"/>
              </w:rPr>
              <w:t xml:space="preserve"> zarządzania ładem korporacyjnym</w:t>
            </w:r>
            <w:r w:rsidR="0005085F" w:rsidRPr="007C10D2">
              <w:rPr>
                <w:rFonts w:ascii="Times New Roman" w:hAnsi="Times New Roman" w:cs="Times New Roman"/>
                <w:bCs/>
                <w:sz w:val="22"/>
                <w:szCs w:val="22"/>
              </w:rPr>
              <w:t xml:space="preserve"> – </w:t>
            </w:r>
            <w:r w:rsidR="0005085F" w:rsidRPr="007C10D2">
              <w:rPr>
                <w:rFonts w:ascii="Times New Roman" w:hAnsi="Times New Roman" w:cs="Times New Roman"/>
                <w:bCs/>
                <w:i/>
                <w:iCs/>
                <w:sz w:val="22"/>
                <w:szCs w:val="22"/>
              </w:rPr>
              <w:t>o ile Bank wdrożył</w:t>
            </w:r>
            <w:r w:rsidRPr="007C10D2">
              <w:rPr>
                <w:rFonts w:ascii="Times New Roman" w:hAnsi="Times New Roman" w:cs="Times New Roman"/>
                <w:bCs/>
                <w:sz w:val="22"/>
                <w:szCs w:val="22"/>
              </w:rPr>
              <w:t>,</w:t>
            </w:r>
          </w:p>
          <w:p w14:paraId="71AB841A" w14:textId="77777777" w:rsidR="00AD5FDC" w:rsidRPr="007C10D2" w:rsidRDefault="00AD5FDC" w:rsidP="00B06E6D">
            <w:pPr>
              <w:pStyle w:val="Tekstpodstawowywcity3"/>
              <w:numPr>
                <w:ilvl w:val="0"/>
                <w:numId w:val="21"/>
              </w:numPr>
              <w:rPr>
                <w:rFonts w:ascii="Times New Roman" w:hAnsi="Times New Roman" w:cs="Times New Roman"/>
                <w:bCs/>
                <w:sz w:val="22"/>
                <w:szCs w:val="22"/>
              </w:rPr>
            </w:pPr>
            <w:r w:rsidRPr="007C10D2">
              <w:rPr>
                <w:rFonts w:ascii="Times New Roman" w:hAnsi="Times New Roman" w:cs="Times New Roman"/>
                <w:bCs/>
                <w:sz w:val="22"/>
                <w:szCs w:val="22"/>
              </w:rPr>
              <w:t xml:space="preserve">Oświadczenie Zarządu w/s stosowania w Banku Zasad ładu korporacyjnego, </w:t>
            </w:r>
          </w:p>
          <w:p w14:paraId="5BF7C9E9" w14:textId="0AB0448D" w:rsidR="00AD5FDC" w:rsidRPr="007C10D2" w:rsidRDefault="00AD5FDC" w:rsidP="00B06E6D">
            <w:pPr>
              <w:pStyle w:val="Tekstpodstawowywcity3"/>
              <w:numPr>
                <w:ilvl w:val="0"/>
                <w:numId w:val="21"/>
              </w:numPr>
              <w:rPr>
                <w:rFonts w:ascii="Times New Roman" w:hAnsi="Times New Roman" w:cs="Times New Roman"/>
                <w:bCs/>
                <w:sz w:val="22"/>
                <w:szCs w:val="22"/>
              </w:rPr>
            </w:pPr>
            <w:r w:rsidRPr="007C10D2">
              <w:rPr>
                <w:rFonts w:ascii="Times New Roman" w:hAnsi="Times New Roman" w:cs="Times New Roman"/>
                <w:bCs/>
                <w:sz w:val="22"/>
                <w:szCs w:val="22"/>
              </w:rPr>
              <w:t>Podstawow</w:t>
            </w:r>
            <w:r w:rsidR="000C26BB" w:rsidRPr="007C10D2">
              <w:rPr>
                <w:rFonts w:ascii="Times New Roman" w:hAnsi="Times New Roman" w:cs="Times New Roman"/>
                <w:bCs/>
                <w:sz w:val="22"/>
                <w:szCs w:val="22"/>
              </w:rPr>
              <w:t>a</w:t>
            </w:r>
            <w:r w:rsidRPr="007C10D2">
              <w:rPr>
                <w:rFonts w:ascii="Times New Roman" w:hAnsi="Times New Roman" w:cs="Times New Roman"/>
                <w:bCs/>
                <w:sz w:val="22"/>
                <w:szCs w:val="22"/>
              </w:rPr>
              <w:t xml:space="preserve"> struktura organizacyjna,</w:t>
            </w:r>
          </w:p>
          <w:p w14:paraId="4C09E236" w14:textId="084AEE69" w:rsidR="00AD5FDC" w:rsidRPr="007C10D2" w:rsidRDefault="008113A2" w:rsidP="00B06E6D">
            <w:pPr>
              <w:pStyle w:val="Tekstpodstawowywcity3"/>
              <w:numPr>
                <w:ilvl w:val="0"/>
                <w:numId w:val="21"/>
              </w:numPr>
              <w:rPr>
                <w:rFonts w:ascii="Times New Roman" w:hAnsi="Times New Roman" w:cs="Times New Roman"/>
                <w:snapToGrid w:val="0"/>
                <w:sz w:val="22"/>
                <w:szCs w:val="22"/>
              </w:rPr>
            </w:pPr>
            <w:r w:rsidRPr="007C10D2">
              <w:rPr>
                <w:rFonts w:ascii="Times New Roman" w:hAnsi="Times New Roman" w:cs="Times New Roman"/>
                <w:bCs/>
                <w:sz w:val="22"/>
                <w:szCs w:val="22"/>
              </w:rPr>
              <w:t>Polityk</w:t>
            </w:r>
            <w:r w:rsidR="000C26BB" w:rsidRPr="007C10D2">
              <w:rPr>
                <w:rFonts w:ascii="Times New Roman" w:hAnsi="Times New Roman" w:cs="Times New Roman"/>
                <w:bCs/>
                <w:sz w:val="22"/>
                <w:szCs w:val="22"/>
              </w:rPr>
              <w:t>a</w:t>
            </w:r>
            <w:r w:rsidR="00AD5FDC" w:rsidRPr="007C10D2">
              <w:rPr>
                <w:rFonts w:ascii="Times New Roman" w:hAnsi="Times New Roman" w:cs="Times New Roman"/>
                <w:bCs/>
                <w:sz w:val="22"/>
                <w:szCs w:val="22"/>
              </w:rPr>
              <w:t xml:space="preserve"> informacyjn</w:t>
            </w:r>
            <w:r w:rsidR="000C26BB" w:rsidRPr="007C10D2">
              <w:rPr>
                <w:rFonts w:ascii="Times New Roman" w:hAnsi="Times New Roman" w:cs="Times New Roman"/>
                <w:bCs/>
                <w:sz w:val="22"/>
                <w:szCs w:val="22"/>
              </w:rPr>
              <w:t>a</w:t>
            </w:r>
            <w:r w:rsidR="00AD5FDC" w:rsidRPr="007C10D2">
              <w:rPr>
                <w:rFonts w:ascii="Times New Roman" w:hAnsi="Times New Roman" w:cs="Times New Roman"/>
                <w:bCs/>
                <w:sz w:val="22"/>
                <w:szCs w:val="22"/>
              </w:rPr>
              <w:t xml:space="preserve">, </w:t>
            </w:r>
          </w:p>
          <w:p w14:paraId="3238010B" w14:textId="77777777" w:rsidR="00AD5FDC" w:rsidRPr="007C10D2" w:rsidRDefault="00AD5FDC" w:rsidP="00B06E6D">
            <w:pPr>
              <w:pStyle w:val="Tekstpodstawowywcity3"/>
              <w:numPr>
                <w:ilvl w:val="0"/>
                <w:numId w:val="21"/>
              </w:numPr>
              <w:rPr>
                <w:rFonts w:ascii="Times New Roman" w:hAnsi="Times New Roman" w:cs="Times New Roman"/>
                <w:snapToGrid w:val="0"/>
                <w:sz w:val="22"/>
                <w:szCs w:val="22"/>
              </w:rPr>
            </w:pPr>
            <w:r w:rsidRPr="007C10D2">
              <w:rPr>
                <w:rFonts w:ascii="Times New Roman" w:hAnsi="Times New Roman" w:cs="Times New Roman"/>
                <w:bCs/>
                <w:sz w:val="22"/>
                <w:szCs w:val="22"/>
              </w:rPr>
              <w:t>Wyniki oceny stosowania ładu korporacyjnego przeprowadzonej przez Radę Nadzorczą.</w:t>
            </w:r>
          </w:p>
          <w:p w14:paraId="298CCB27" w14:textId="77777777" w:rsidR="00AD5FDC" w:rsidRPr="007C10D2" w:rsidRDefault="00AD5FDC" w:rsidP="00AD5FDC">
            <w:pPr>
              <w:pStyle w:val="Tekstpodstawowywcity3"/>
              <w:ind w:left="1068"/>
              <w:rPr>
                <w:rFonts w:ascii="Times New Roman" w:hAnsi="Times New Roman" w:cs="Times New Roman"/>
                <w:snapToGrid w:val="0"/>
                <w:sz w:val="22"/>
                <w:szCs w:val="22"/>
              </w:rPr>
            </w:pPr>
          </w:p>
        </w:tc>
        <w:tc>
          <w:tcPr>
            <w:tcW w:w="1843" w:type="dxa"/>
          </w:tcPr>
          <w:p w14:paraId="195A6DF0" w14:textId="77777777" w:rsidR="00AD5FDC" w:rsidRPr="007C10D2" w:rsidRDefault="00AD5FDC" w:rsidP="00AD5FDC">
            <w:pPr>
              <w:jc w:val="center"/>
              <w:rPr>
                <w:rFonts w:ascii="Times New Roman" w:hAnsi="Times New Roman" w:cs="Times New Roman"/>
                <w:sz w:val="22"/>
                <w:szCs w:val="22"/>
              </w:rPr>
            </w:pPr>
            <w:r w:rsidRPr="007C10D2">
              <w:rPr>
                <w:rFonts w:ascii="Times New Roman" w:hAnsi="Times New Roman" w:cs="Times New Roman"/>
                <w:sz w:val="22"/>
                <w:szCs w:val="22"/>
              </w:rPr>
              <w:t xml:space="preserve">Zespół organizacyjno </w:t>
            </w:r>
            <w:r w:rsidR="00F40616" w:rsidRPr="007C10D2">
              <w:rPr>
                <w:rFonts w:ascii="Times New Roman" w:hAnsi="Times New Roman" w:cs="Times New Roman"/>
                <w:sz w:val="22"/>
                <w:szCs w:val="22"/>
              </w:rPr>
              <w:t>–</w:t>
            </w:r>
            <w:r w:rsidRPr="007C10D2">
              <w:rPr>
                <w:rFonts w:ascii="Times New Roman" w:hAnsi="Times New Roman" w:cs="Times New Roman"/>
                <w:sz w:val="22"/>
                <w:szCs w:val="22"/>
              </w:rPr>
              <w:t xml:space="preserve"> administracyjny</w:t>
            </w:r>
          </w:p>
        </w:tc>
        <w:tc>
          <w:tcPr>
            <w:tcW w:w="1843" w:type="dxa"/>
          </w:tcPr>
          <w:p w14:paraId="0DBD3289" w14:textId="77777777" w:rsidR="007179AB" w:rsidRPr="007C10D2" w:rsidRDefault="00AD5FDC" w:rsidP="00AD5FDC">
            <w:pPr>
              <w:jc w:val="center"/>
              <w:rPr>
                <w:rFonts w:ascii="Times New Roman" w:hAnsi="Times New Roman" w:cs="Times New Roman"/>
                <w:sz w:val="22"/>
                <w:szCs w:val="22"/>
              </w:rPr>
            </w:pPr>
            <w:r w:rsidRPr="007C10D2">
              <w:rPr>
                <w:rFonts w:ascii="Times New Roman" w:hAnsi="Times New Roman" w:cs="Times New Roman"/>
                <w:sz w:val="22"/>
                <w:szCs w:val="22"/>
              </w:rPr>
              <w:t xml:space="preserve">Strona </w:t>
            </w:r>
          </w:p>
          <w:p w14:paraId="214A4629" w14:textId="54266860" w:rsidR="00AD5FDC" w:rsidRPr="007C10D2" w:rsidRDefault="00144D38" w:rsidP="007179AB">
            <w:pPr>
              <w:rPr>
                <w:rFonts w:ascii="Times New Roman" w:hAnsi="Times New Roman" w:cs="Times New Roman"/>
                <w:sz w:val="22"/>
                <w:szCs w:val="22"/>
              </w:rPr>
            </w:pPr>
            <w:hyperlink r:id="rId12" w:history="1">
              <w:r w:rsidR="007179AB" w:rsidRPr="007C10D2">
                <w:rPr>
                  <w:rStyle w:val="Hipercze"/>
                  <w:rFonts w:ascii="Times New Roman" w:hAnsi="Times New Roman" w:cs="Times New Roman"/>
                  <w:color w:val="auto"/>
                  <w:sz w:val="22"/>
                  <w:szCs w:val="22"/>
                </w:rPr>
                <w:t>www.bsgoworowo.pl</w:t>
              </w:r>
            </w:hyperlink>
          </w:p>
          <w:p w14:paraId="3D3850B4" w14:textId="727BA00B" w:rsidR="007179AB" w:rsidRPr="007C10D2" w:rsidRDefault="007179AB" w:rsidP="007179AB">
            <w:pPr>
              <w:rPr>
                <w:rFonts w:ascii="Times New Roman" w:hAnsi="Times New Roman" w:cs="Times New Roman"/>
                <w:sz w:val="22"/>
                <w:szCs w:val="22"/>
              </w:rPr>
            </w:pPr>
          </w:p>
        </w:tc>
        <w:tc>
          <w:tcPr>
            <w:tcW w:w="1843" w:type="dxa"/>
          </w:tcPr>
          <w:p w14:paraId="0F7A29A0" w14:textId="77777777" w:rsidR="00AD5FDC" w:rsidRPr="007C10D2" w:rsidRDefault="00AD5FDC" w:rsidP="00AD5FDC">
            <w:pPr>
              <w:rPr>
                <w:rFonts w:ascii="Times New Roman" w:hAnsi="Times New Roman" w:cs="Times New Roman"/>
                <w:sz w:val="22"/>
                <w:szCs w:val="22"/>
              </w:rPr>
            </w:pPr>
            <w:r w:rsidRPr="007C10D2">
              <w:rPr>
                <w:rFonts w:ascii="Times New Roman" w:hAnsi="Times New Roman" w:cs="Times New Roman"/>
                <w:sz w:val="22"/>
                <w:szCs w:val="22"/>
              </w:rPr>
              <w:t>Na bieżąco</w:t>
            </w:r>
          </w:p>
          <w:p w14:paraId="568AB8AB" w14:textId="77777777" w:rsidR="00181005" w:rsidRPr="007C10D2" w:rsidRDefault="00181005" w:rsidP="00AD5FDC">
            <w:pPr>
              <w:rPr>
                <w:rFonts w:ascii="Times New Roman" w:hAnsi="Times New Roman" w:cs="Times New Roman"/>
                <w:sz w:val="22"/>
                <w:szCs w:val="22"/>
              </w:rPr>
            </w:pPr>
          </w:p>
          <w:p w14:paraId="55CF7A6A" w14:textId="77777777" w:rsidR="00181005" w:rsidRPr="007C10D2" w:rsidRDefault="00181005" w:rsidP="00AD5FDC">
            <w:pPr>
              <w:rPr>
                <w:rFonts w:ascii="Times New Roman" w:hAnsi="Times New Roman" w:cs="Times New Roman"/>
                <w:sz w:val="22"/>
                <w:szCs w:val="22"/>
              </w:rPr>
            </w:pPr>
          </w:p>
          <w:p w14:paraId="4BC17A20" w14:textId="77777777" w:rsidR="00181005" w:rsidRPr="007C10D2" w:rsidRDefault="00181005" w:rsidP="00AD5FDC">
            <w:pPr>
              <w:rPr>
                <w:rFonts w:ascii="Times New Roman" w:hAnsi="Times New Roman" w:cs="Times New Roman"/>
                <w:sz w:val="22"/>
                <w:szCs w:val="22"/>
              </w:rPr>
            </w:pPr>
          </w:p>
          <w:p w14:paraId="65A7716B" w14:textId="77777777" w:rsidR="00181005" w:rsidRPr="007C10D2" w:rsidRDefault="00181005" w:rsidP="00AD5FDC">
            <w:pPr>
              <w:rPr>
                <w:rFonts w:ascii="Times New Roman" w:hAnsi="Times New Roman" w:cs="Times New Roman"/>
                <w:sz w:val="22"/>
                <w:szCs w:val="22"/>
              </w:rPr>
            </w:pPr>
          </w:p>
          <w:p w14:paraId="01247099" w14:textId="77777777" w:rsidR="00181005" w:rsidRPr="007C10D2" w:rsidRDefault="00181005" w:rsidP="00AD5FDC">
            <w:pPr>
              <w:rPr>
                <w:rFonts w:ascii="Times New Roman" w:hAnsi="Times New Roman" w:cs="Times New Roman"/>
                <w:sz w:val="22"/>
                <w:szCs w:val="22"/>
              </w:rPr>
            </w:pPr>
          </w:p>
          <w:p w14:paraId="347CCBEE" w14:textId="2B9ADBDF" w:rsidR="00181005" w:rsidRPr="007C10D2" w:rsidRDefault="00181005" w:rsidP="00AD5FDC">
            <w:pPr>
              <w:rPr>
                <w:rFonts w:ascii="Times New Roman" w:hAnsi="Times New Roman" w:cs="Times New Roman"/>
              </w:rPr>
            </w:pPr>
            <w:r w:rsidRPr="007C10D2">
              <w:rPr>
                <w:rFonts w:ascii="Times New Roman" w:hAnsi="Times New Roman" w:cs="Times New Roman"/>
                <w:sz w:val="22"/>
                <w:szCs w:val="22"/>
              </w:rPr>
              <w:t>W terminie publikacji sprawozdania finansowego</w:t>
            </w:r>
          </w:p>
        </w:tc>
      </w:tr>
      <w:tr w:rsidR="007C10D2" w:rsidRPr="007C10D2" w14:paraId="5FDA583F" w14:textId="77777777" w:rsidTr="005A7812">
        <w:tc>
          <w:tcPr>
            <w:tcW w:w="637" w:type="dxa"/>
          </w:tcPr>
          <w:p w14:paraId="781FE133" w14:textId="77777777" w:rsidR="00C108BF" w:rsidRPr="007C10D2" w:rsidRDefault="00C108BF" w:rsidP="00B06E6D">
            <w:pPr>
              <w:numPr>
                <w:ilvl w:val="0"/>
                <w:numId w:val="15"/>
              </w:numPr>
              <w:jc w:val="center"/>
              <w:rPr>
                <w:rFonts w:ascii="Times New Roman" w:hAnsi="Times New Roman" w:cs="Times New Roman"/>
                <w:sz w:val="22"/>
                <w:szCs w:val="22"/>
              </w:rPr>
            </w:pPr>
          </w:p>
        </w:tc>
        <w:tc>
          <w:tcPr>
            <w:tcW w:w="7938" w:type="dxa"/>
          </w:tcPr>
          <w:p w14:paraId="7A0F54B0" w14:textId="5E468F69" w:rsidR="00C108BF" w:rsidRPr="007C10D2" w:rsidRDefault="00C108BF" w:rsidP="00C108BF">
            <w:pPr>
              <w:pStyle w:val="Tekstpodstawowywcity3"/>
              <w:ind w:left="0"/>
              <w:jc w:val="left"/>
              <w:rPr>
                <w:rFonts w:ascii="Times New Roman" w:hAnsi="Times New Roman" w:cs="Times New Roman"/>
                <w:bCs/>
                <w:sz w:val="22"/>
                <w:szCs w:val="22"/>
              </w:rPr>
            </w:pPr>
            <w:r w:rsidRPr="007C10D2">
              <w:rPr>
                <w:rFonts w:ascii="Times New Roman" w:hAnsi="Times New Roman" w:cs="Times New Roman"/>
                <w:snapToGrid w:val="0"/>
                <w:sz w:val="22"/>
                <w:szCs w:val="22"/>
              </w:rPr>
              <w:t>In</w:t>
            </w:r>
            <w:r w:rsidR="005044C5" w:rsidRPr="007C10D2">
              <w:rPr>
                <w:rFonts w:ascii="Times New Roman" w:hAnsi="Times New Roman" w:cs="Times New Roman"/>
                <w:snapToGrid w:val="0"/>
                <w:sz w:val="22"/>
                <w:szCs w:val="22"/>
              </w:rPr>
              <w:t xml:space="preserve">formacje określone w art. 111 b </w:t>
            </w:r>
            <w:r w:rsidRPr="007C10D2">
              <w:rPr>
                <w:rFonts w:ascii="Times New Roman" w:hAnsi="Times New Roman" w:cs="Times New Roman"/>
                <w:snapToGrid w:val="0"/>
                <w:sz w:val="22"/>
                <w:szCs w:val="22"/>
              </w:rPr>
              <w:t>Ustawy Prawo bankowe, tj.:</w:t>
            </w:r>
          </w:p>
          <w:p w14:paraId="3930EB2F" w14:textId="77777777" w:rsidR="00C108BF" w:rsidRPr="007C10D2" w:rsidRDefault="00C108BF" w:rsidP="00B06E6D">
            <w:pPr>
              <w:pStyle w:val="Tekstpodstawowywcity3"/>
              <w:numPr>
                <w:ilvl w:val="0"/>
                <w:numId w:val="29"/>
              </w:numPr>
              <w:rPr>
                <w:rFonts w:ascii="Times New Roman" w:hAnsi="Times New Roman" w:cs="Times New Roman"/>
                <w:bCs/>
                <w:sz w:val="22"/>
                <w:szCs w:val="22"/>
              </w:rPr>
            </w:pPr>
            <w:r w:rsidRPr="007C10D2">
              <w:rPr>
                <w:rFonts w:ascii="Times New Roman" w:hAnsi="Times New Roman" w:cs="Times New Roman"/>
                <w:bCs/>
                <w:sz w:val="22"/>
                <w:szCs w:val="22"/>
              </w:rPr>
              <w:t>stosowane stawki oprocentowania środków na rachunkach bankowych, kredytów i pożyczek,</w:t>
            </w:r>
          </w:p>
          <w:p w14:paraId="24BB3EAC" w14:textId="77777777" w:rsidR="00C108BF" w:rsidRPr="007C10D2" w:rsidRDefault="00C108BF" w:rsidP="00B06E6D">
            <w:pPr>
              <w:pStyle w:val="Tekstpodstawowywcity3"/>
              <w:numPr>
                <w:ilvl w:val="0"/>
                <w:numId w:val="29"/>
              </w:numPr>
              <w:rPr>
                <w:rFonts w:ascii="Times New Roman" w:hAnsi="Times New Roman" w:cs="Times New Roman"/>
                <w:bCs/>
                <w:sz w:val="22"/>
                <w:szCs w:val="22"/>
              </w:rPr>
            </w:pPr>
            <w:r w:rsidRPr="007C10D2">
              <w:rPr>
                <w:rFonts w:ascii="Times New Roman" w:hAnsi="Times New Roman" w:cs="Times New Roman"/>
                <w:bCs/>
                <w:sz w:val="22"/>
                <w:szCs w:val="22"/>
              </w:rPr>
              <w:t>stosowane stawki prowizji i wysokość pobieranych opłat,</w:t>
            </w:r>
          </w:p>
          <w:p w14:paraId="3E6002BC" w14:textId="77777777" w:rsidR="00C108BF" w:rsidRPr="007C10D2" w:rsidRDefault="00C108BF" w:rsidP="00B06E6D">
            <w:pPr>
              <w:pStyle w:val="Tekstpodstawowywcity3"/>
              <w:numPr>
                <w:ilvl w:val="0"/>
                <w:numId w:val="29"/>
              </w:numPr>
              <w:rPr>
                <w:rFonts w:ascii="Times New Roman" w:hAnsi="Times New Roman" w:cs="Times New Roman"/>
                <w:bCs/>
                <w:sz w:val="22"/>
                <w:szCs w:val="22"/>
              </w:rPr>
            </w:pPr>
            <w:r w:rsidRPr="007C10D2">
              <w:rPr>
                <w:rFonts w:ascii="Times New Roman" w:hAnsi="Times New Roman" w:cs="Times New Roman"/>
                <w:bCs/>
                <w:sz w:val="22"/>
                <w:szCs w:val="22"/>
              </w:rPr>
              <w:t>terminy kapitalizacji odsetek,</w:t>
            </w:r>
          </w:p>
          <w:p w14:paraId="0455AD42" w14:textId="77777777" w:rsidR="00C108BF" w:rsidRPr="007C10D2" w:rsidRDefault="00C108BF" w:rsidP="00B06E6D">
            <w:pPr>
              <w:pStyle w:val="Tekstpodstawowywcity3"/>
              <w:numPr>
                <w:ilvl w:val="0"/>
                <w:numId w:val="29"/>
              </w:numPr>
              <w:rPr>
                <w:rFonts w:ascii="Times New Roman" w:hAnsi="Times New Roman" w:cs="Times New Roman"/>
                <w:bCs/>
                <w:sz w:val="22"/>
                <w:szCs w:val="22"/>
              </w:rPr>
            </w:pPr>
            <w:r w:rsidRPr="007C10D2">
              <w:rPr>
                <w:rFonts w:ascii="Times New Roman" w:hAnsi="Times New Roman" w:cs="Times New Roman"/>
                <w:bCs/>
                <w:sz w:val="22"/>
                <w:szCs w:val="22"/>
              </w:rPr>
              <w:t>stosowane kursy walutowe,</w:t>
            </w:r>
          </w:p>
          <w:p w14:paraId="65E470FA" w14:textId="32A00E0E" w:rsidR="00C108BF" w:rsidRPr="007C10D2" w:rsidRDefault="000C26BB" w:rsidP="00B06E6D">
            <w:pPr>
              <w:pStyle w:val="Tekstpodstawowywcity3"/>
              <w:numPr>
                <w:ilvl w:val="0"/>
                <w:numId w:val="29"/>
              </w:numPr>
              <w:rPr>
                <w:rFonts w:ascii="Times New Roman" w:hAnsi="Times New Roman" w:cs="Times New Roman"/>
                <w:bCs/>
                <w:sz w:val="22"/>
                <w:szCs w:val="22"/>
              </w:rPr>
            </w:pPr>
            <w:r w:rsidRPr="007C10D2">
              <w:rPr>
                <w:rFonts w:ascii="Times New Roman" w:hAnsi="Times New Roman" w:cs="Times New Roman"/>
                <w:bCs/>
                <w:sz w:val="22"/>
                <w:szCs w:val="22"/>
              </w:rPr>
              <w:t>sprawozdanie finansowe Banku warz ze sprawozdaniem z badania przez</w:t>
            </w:r>
            <w:r w:rsidR="00C108BF" w:rsidRPr="007C10D2">
              <w:rPr>
                <w:rFonts w:ascii="Times New Roman" w:hAnsi="Times New Roman" w:cs="Times New Roman"/>
                <w:bCs/>
                <w:sz w:val="22"/>
                <w:szCs w:val="22"/>
              </w:rPr>
              <w:t xml:space="preserve"> biegłego rewidenta za ostatni okres podlegający badaniu,</w:t>
            </w:r>
          </w:p>
          <w:p w14:paraId="07CF02E9" w14:textId="77777777" w:rsidR="00C108BF" w:rsidRPr="007C10D2" w:rsidRDefault="00C108BF" w:rsidP="00B06E6D">
            <w:pPr>
              <w:pStyle w:val="Tekstpodstawowywcity3"/>
              <w:numPr>
                <w:ilvl w:val="0"/>
                <w:numId w:val="29"/>
              </w:numPr>
              <w:rPr>
                <w:rFonts w:ascii="Times New Roman" w:hAnsi="Times New Roman" w:cs="Times New Roman"/>
                <w:bCs/>
                <w:sz w:val="22"/>
                <w:szCs w:val="22"/>
              </w:rPr>
            </w:pPr>
            <w:r w:rsidRPr="007C10D2">
              <w:rPr>
                <w:rFonts w:ascii="Times New Roman" w:hAnsi="Times New Roman" w:cs="Times New Roman"/>
                <w:bCs/>
                <w:sz w:val="22"/>
                <w:szCs w:val="22"/>
              </w:rPr>
              <w:t>skład zarządu i rady nadzorczej banku,</w:t>
            </w:r>
          </w:p>
          <w:p w14:paraId="2BAF6130" w14:textId="77777777" w:rsidR="00C108BF" w:rsidRPr="007C10D2" w:rsidRDefault="00C108BF" w:rsidP="00B06E6D">
            <w:pPr>
              <w:pStyle w:val="Tekstpodstawowywcity3"/>
              <w:numPr>
                <w:ilvl w:val="0"/>
                <w:numId w:val="29"/>
              </w:numPr>
              <w:rPr>
                <w:rFonts w:ascii="Times New Roman" w:hAnsi="Times New Roman" w:cs="Times New Roman"/>
                <w:bCs/>
                <w:sz w:val="22"/>
                <w:szCs w:val="22"/>
              </w:rPr>
            </w:pPr>
            <w:r w:rsidRPr="007C10D2">
              <w:rPr>
                <w:rFonts w:ascii="Times New Roman" w:hAnsi="Times New Roman" w:cs="Times New Roman"/>
                <w:bCs/>
                <w:sz w:val="22"/>
                <w:szCs w:val="22"/>
              </w:rPr>
              <w:t>nazwiska osób upoważnionych do zaciągania zobowiązań w imieniu banku albo jednostki organizacyjnej banku,</w:t>
            </w:r>
          </w:p>
          <w:p w14:paraId="02303F4A" w14:textId="12235EE4" w:rsidR="00C108BF" w:rsidRPr="007C10D2" w:rsidRDefault="00C108BF" w:rsidP="00B06E6D">
            <w:pPr>
              <w:pStyle w:val="Tekstpodstawowywcity3"/>
              <w:numPr>
                <w:ilvl w:val="0"/>
                <w:numId w:val="29"/>
              </w:numPr>
              <w:rPr>
                <w:rFonts w:ascii="Times New Roman" w:hAnsi="Times New Roman" w:cs="Times New Roman"/>
                <w:bCs/>
                <w:sz w:val="22"/>
                <w:szCs w:val="22"/>
              </w:rPr>
            </w:pPr>
            <w:r w:rsidRPr="007C10D2">
              <w:rPr>
                <w:rFonts w:ascii="Times New Roman" w:hAnsi="Times New Roman" w:cs="Times New Roman"/>
                <w:bCs/>
                <w:sz w:val="22"/>
                <w:szCs w:val="22"/>
              </w:rPr>
              <w:lastRenderedPageBreak/>
              <w:t>obszar działania oraz bank zrzeszający,</w:t>
            </w:r>
          </w:p>
          <w:p w14:paraId="0FF8ACFD" w14:textId="1E0A1939" w:rsidR="00C108BF" w:rsidRPr="007C10D2" w:rsidRDefault="00C108BF" w:rsidP="00B06E6D">
            <w:pPr>
              <w:pStyle w:val="Tekstpodstawowywcity3"/>
              <w:numPr>
                <w:ilvl w:val="0"/>
                <w:numId w:val="29"/>
              </w:numPr>
              <w:autoSpaceDE w:val="0"/>
              <w:autoSpaceDN w:val="0"/>
              <w:adjustRightInd w:val="0"/>
              <w:rPr>
                <w:rFonts w:ascii="Times New Roman" w:hAnsi="Times New Roman" w:cs="Times New Roman"/>
                <w:bCs/>
                <w:sz w:val="22"/>
                <w:szCs w:val="22"/>
              </w:rPr>
            </w:pPr>
            <w:r w:rsidRPr="007C10D2">
              <w:rPr>
                <w:rFonts w:ascii="Times New Roman" w:hAnsi="Times New Roman" w:cs="Times New Roman"/>
                <w:sz w:val="22"/>
                <w:szCs w:val="22"/>
              </w:rPr>
              <w:t>informacje o przedsiębiorcach lub przedsiębiorcach zagranicznych, o których mowa w art. 6a ust. 1 i 7, o ile przy wykonywaniu na rzecz jednostki organizacyjnej banku albo innego przedsiębiorcy lub przedsiębiorcy zagranicznego czynności, o których mowa w tych przepisach, uzyskują dostęp do informacji chronionych tajemnicą bankową</w:t>
            </w:r>
            <w:r w:rsidRPr="007C10D2">
              <w:rPr>
                <w:rFonts w:ascii="Times New Roman" w:hAnsi="Times New Roman" w:cs="Times New Roman"/>
                <w:bCs/>
                <w:sz w:val="22"/>
                <w:szCs w:val="22"/>
              </w:rPr>
              <w:t>.</w:t>
            </w:r>
          </w:p>
          <w:p w14:paraId="521114BE" w14:textId="77777777" w:rsidR="00C108BF" w:rsidRPr="007C10D2" w:rsidRDefault="00C108BF" w:rsidP="00C108BF">
            <w:pPr>
              <w:pStyle w:val="Tekstpodstawowywcity3"/>
              <w:ind w:left="0"/>
              <w:jc w:val="left"/>
              <w:rPr>
                <w:rFonts w:ascii="Times New Roman" w:hAnsi="Times New Roman" w:cs="Times New Roman"/>
                <w:snapToGrid w:val="0"/>
                <w:sz w:val="22"/>
                <w:szCs w:val="22"/>
              </w:rPr>
            </w:pPr>
          </w:p>
        </w:tc>
        <w:tc>
          <w:tcPr>
            <w:tcW w:w="1843" w:type="dxa"/>
          </w:tcPr>
          <w:p w14:paraId="74559BA8" w14:textId="77777777" w:rsidR="00C108BF" w:rsidRPr="007C10D2" w:rsidRDefault="00AD5FDC" w:rsidP="00C108BF">
            <w:pPr>
              <w:jc w:val="center"/>
              <w:rPr>
                <w:rFonts w:ascii="Times New Roman" w:hAnsi="Times New Roman" w:cs="Times New Roman"/>
                <w:sz w:val="22"/>
                <w:szCs w:val="22"/>
              </w:rPr>
            </w:pPr>
            <w:r w:rsidRPr="007C10D2">
              <w:rPr>
                <w:rFonts w:ascii="Times New Roman" w:hAnsi="Times New Roman" w:cs="Times New Roman"/>
                <w:sz w:val="22"/>
                <w:szCs w:val="22"/>
              </w:rPr>
              <w:lastRenderedPageBreak/>
              <w:t>Dyrektor Oddziału</w:t>
            </w:r>
          </w:p>
          <w:p w14:paraId="134165AF" w14:textId="77777777" w:rsidR="00AD5FDC" w:rsidRPr="007C10D2" w:rsidRDefault="00AD5FDC" w:rsidP="00C108BF">
            <w:pPr>
              <w:jc w:val="center"/>
              <w:rPr>
                <w:rFonts w:ascii="Times New Roman" w:hAnsi="Times New Roman" w:cs="Times New Roman"/>
                <w:sz w:val="22"/>
                <w:szCs w:val="22"/>
              </w:rPr>
            </w:pPr>
          </w:p>
          <w:p w14:paraId="4EE6A28C" w14:textId="77777777" w:rsidR="00AD5FDC" w:rsidRPr="007C10D2" w:rsidRDefault="00AD5FDC" w:rsidP="00C108BF">
            <w:pPr>
              <w:jc w:val="center"/>
              <w:rPr>
                <w:rFonts w:ascii="Times New Roman" w:hAnsi="Times New Roman" w:cs="Times New Roman"/>
                <w:sz w:val="22"/>
                <w:szCs w:val="22"/>
              </w:rPr>
            </w:pPr>
          </w:p>
          <w:p w14:paraId="00F6A2A4" w14:textId="77777777" w:rsidR="00AD5FDC" w:rsidRPr="007C10D2" w:rsidRDefault="00AD5FDC" w:rsidP="00C108BF">
            <w:pPr>
              <w:jc w:val="center"/>
              <w:rPr>
                <w:rFonts w:ascii="Times New Roman" w:hAnsi="Times New Roman" w:cs="Times New Roman"/>
                <w:sz w:val="22"/>
                <w:szCs w:val="22"/>
              </w:rPr>
            </w:pPr>
          </w:p>
          <w:p w14:paraId="10CA0F86" w14:textId="77777777" w:rsidR="00AD5FDC" w:rsidRPr="007C10D2" w:rsidRDefault="00AD5FDC" w:rsidP="00C108BF">
            <w:pPr>
              <w:jc w:val="center"/>
              <w:rPr>
                <w:rFonts w:ascii="Times New Roman" w:hAnsi="Times New Roman" w:cs="Times New Roman"/>
                <w:sz w:val="22"/>
                <w:szCs w:val="22"/>
              </w:rPr>
            </w:pPr>
          </w:p>
          <w:p w14:paraId="32C24606" w14:textId="77777777" w:rsidR="00AD5FDC" w:rsidRPr="007C10D2" w:rsidRDefault="00AD5FDC" w:rsidP="00C108BF">
            <w:pPr>
              <w:jc w:val="center"/>
              <w:rPr>
                <w:rFonts w:ascii="Times New Roman" w:hAnsi="Times New Roman" w:cs="Times New Roman"/>
                <w:sz w:val="22"/>
                <w:szCs w:val="22"/>
              </w:rPr>
            </w:pPr>
          </w:p>
          <w:p w14:paraId="620517F3" w14:textId="77777777" w:rsidR="00AD5FDC" w:rsidRPr="007C10D2" w:rsidRDefault="00AD5FDC" w:rsidP="00C108BF">
            <w:pPr>
              <w:jc w:val="center"/>
              <w:rPr>
                <w:rFonts w:ascii="Times New Roman" w:hAnsi="Times New Roman" w:cs="Times New Roman"/>
                <w:sz w:val="22"/>
                <w:szCs w:val="22"/>
              </w:rPr>
            </w:pPr>
          </w:p>
          <w:p w14:paraId="7874BD92" w14:textId="77777777" w:rsidR="00AD5FDC" w:rsidRPr="007C10D2" w:rsidRDefault="00AD5FDC" w:rsidP="005044C5">
            <w:pPr>
              <w:jc w:val="center"/>
              <w:rPr>
                <w:rFonts w:ascii="Times New Roman" w:hAnsi="Times New Roman" w:cs="Times New Roman"/>
                <w:sz w:val="22"/>
                <w:szCs w:val="22"/>
              </w:rPr>
            </w:pPr>
            <w:r w:rsidRPr="007C10D2">
              <w:rPr>
                <w:rFonts w:ascii="Times New Roman" w:hAnsi="Times New Roman" w:cs="Times New Roman"/>
                <w:sz w:val="22"/>
                <w:szCs w:val="22"/>
              </w:rPr>
              <w:t xml:space="preserve">Stanowisko </w:t>
            </w:r>
            <w:r w:rsidR="005044C5" w:rsidRPr="007C10D2">
              <w:rPr>
                <w:rFonts w:ascii="Times New Roman" w:hAnsi="Times New Roman" w:cs="Times New Roman"/>
                <w:sz w:val="22"/>
                <w:szCs w:val="22"/>
              </w:rPr>
              <w:t xml:space="preserve">organizacyjno </w:t>
            </w:r>
            <w:r w:rsidR="00F40616" w:rsidRPr="007C10D2">
              <w:rPr>
                <w:rFonts w:ascii="Times New Roman" w:hAnsi="Times New Roman" w:cs="Times New Roman"/>
                <w:sz w:val="22"/>
                <w:szCs w:val="22"/>
              </w:rPr>
              <w:t>–</w:t>
            </w:r>
            <w:r w:rsidR="005044C5" w:rsidRPr="007C10D2">
              <w:rPr>
                <w:rFonts w:ascii="Times New Roman" w:hAnsi="Times New Roman" w:cs="Times New Roman"/>
                <w:sz w:val="22"/>
                <w:szCs w:val="22"/>
              </w:rPr>
              <w:t xml:space="preserve"> administracyjne</w:t>
            </w:r>
          </w:p>
        </w:tc>
        <w:tc>
          <w:tcPr>
            <w:tcW w:w="1843" w:type="dxa"/>
          </w:tcPr>
          <w:p w14:paraId="31998EF7" w14:textId="7AFBF52D" w:rsidR="00C108BF" w:rsidRPr="007C10D2" w:rsidRDefault="00AD5FDC" w:rsidP="00AD5FDC">
            <w:pPr>
              <w:jc w:val="center"/>
              <w:rPr>
                <w:rFonts w:ascii="Times New Roman" w:hAnsi="Times New Roman" w:cs="Times New Roman"/>
                <w:sz w:val="22"/>
                <w:szCs w:val="22"/>
              </w:rPr>
            </w:pPr>
            <w:r w:rsidRPr="007C10D2">
              <w:rPr>
                <w:rFonts w:ascii="Times New Roman" w:hAnsi="Times New Roman" w:cs="Times New Roman"/>
                <w:sz w:val="22"/>
                <w:szCs w:val="22"/>
              </w:rPr>
              <w:t>Tablica ogłoszeń w miejscu wykonywania czynności</w:t>
            </w:r>
            <w:r w:rsidR="007003F3" w:rsidRPr="007C10D2">
              <w:rPr>
                <w:rFonts w:ascii="Times New Roman" w:hAnsi="Times New Roman" w:cs="Times New Roman"/>
                <w:sz w:val="22"/>
                <w:szCs w:val="22"/>
              </w:rPr>
              <w:t>,</w:t>
            </w:r>
          </w:p>
          <w:p w14:paraId="4DD7C9B0" w14:textId="77777777" w:rsidR="00181005" w:rsidRPr="007C10D2" w:rsidRDefault="00181005" w:rsidP="00AD5FDC">
            <w:pPr>
              <w:jc w:val="center"/>
              <w:rPr>
                <w:rFonts w:ascii="Times New Roman" w:hAnsi="Times New Roman" w:cs="Times New Roman"/>
                <w:sz w:val="22"/>
                <w:szCs w:val="22"/>
              </w:rPr>
            </w:pPr>
          </w:p>
          <w:p w14:paraId="2EAF759B" w14:textId="77777777" w:rsidR="00181005" w:rsidRPr="007C10D2" w:rsidRDefault="00181005" w:rsidP="00AD5FDC">
            <w:pPr>
              <w:jc w:val="center"/>
              <w:rPr>
                <w:rFonts w:ascii="Times New Roman" w:hAnsi="Times New Roman" w:cs="Times New Roman"/>
                <w:sz w:val="22"/>
                <w:szCs w:val="22"/>
              </w:rPr>
            </w:pPr>
          </w:p>
          <w:p w14:paraId="4C4FBB3D" w14:textId="77777777" w:rsidR="00181005" w:rsidRPr="007C10D2" w:rsidRDefault="00181005" w:rsidP="00AD5FDC">
            <w:pPr>
              <w:jc w:val="center"/>
              <w:rPr>
                <w:rFonts w:ascii="Times New Roman" w:hAnsi="Times New Roman" w:cs="Times New Roman"/>
                <w:sz w:val="22"/>
                <w:szCs w:val="22"/>
              </w:rPr>
            </w:pPr>
          </w:p>
          <w:p w14:paraId="01CBB1A9" w14:textId="77777777" w:rsidR="00181005" w:rsidRPr="007C10D2" w:rsidRDefault="00181005" w:rsidP="00AD5FDC">
            <w:pPr>
              <w:jc w:val="center"/>
              <w:rPr>
                <w:rFonts w:ascii="Times New Roman" w:hAnsi="Times New Roman" w:cs="Times New Roman"/>
                <w:sz w:val="22"/>
                <w:szCs w:val="22"/>
              </w:rPr>
            </w:pPr>
          </w:p>
          <w:p w14:paraId="2EF9C22D" w14:textId="79AA02C0" w:rsidR="007003F3" w:rsidRPr="007C10D2" w:rsidRDefault="00144D38" w:rsidP="007179AB">
            <w:pPr>
              <w:rPr>
                <w:rFonts w:ascii="Times New Roman" w:hAnsi="Times New Roman" w:cs="Times New Roman"/>
                <w:sz w:val="22"/>
                <w:szCs w:val="22"/>
              </w:rPr>
            </w:pPr>
            <w:hyperlink r:id="rId13" w:history="1">
              <w:r w:rsidR="007179AB" w:rsidRPr="007C10D2">
                <w:rPr>
                  <w:rStyle w:val="Hipercze"/>
                  <w:rFonts w:ascii="Times New Roman" w:hAnsi="Times New Roman" w:cs="Times New Roman"/>
                  <w:color w:val="auto"/>
                  <w:sz w:val="22"/>
                  <w:szCs w:val="22"/>
                </w:rPr>
                <w:t>www.bsgoworowo.pl</w:t>
              </w:r>
            </w:hyperlink>
          </w:p>
          <w:p w14:paraId="480309EA" w14:textId="77777777" w:rsidR="007179AB" w:rsidRPr="007C10D2" w:rsidRDefault="007179AB" w:rsidP="007179AB">
            <w:pPr>
              <w:rPr>
                <w:rFonts w:ascii="Times New Roman" w:hAnsi="Times New Roman" w:cs="Times New Roman"/>
                <w:sz w:val="22"/>
                <w:szCs w:val="22"/>
              </w:rPr>
            </w:pPr>
          </w:p>
          <w:p w14:paraId="6B0E5632" w14:textId="77777777" w:rsidR="00AD5FDC" w:rsidRPr="007C10D2" w:rsidRDefault="00AD5FDC" w:rsidP="00AD5FDC">
            <w:pPr>
              <w:jc w:val="center"/>
              <w:rPr>
                <w:rFonts w:ascii="Times New Roman" w:hAnsi="Times New Roman" w:cs="Times New Roman"/>
                <w:sz w:val="22"/>
                <w:szCs w:val="22"/>
              </w:rPr>
            </w:pPr>
          </w:p>
          <w:p w14:paraId="200DAC69" w14:textId="77777777" w:rsidR="00AD5FDC" w:rsidRPr="007C10D2" w:rsidRDefault="00AD5FDC" w:rsidP="00AD5FDC">
            <w:pPr>
              <w:jc w:val="center"/>
              <w:rPr>
                <w:rFonts w:ascii="Times New Roman" w:hAnsi="Times New Roman" w:cs="Times New Roman"/>
                <w:sz w:val="22"/>
                <w:szCs w:val="22"/>
              </w:rPr>
            </w:pPr>
          </w:p>
          <w:p w14:paraId="479BEF84" w14:textId="77777777" w:rsidR="00AD5FDC" w:rsidRPr="007C10D2" w:rsidRDefault="00AD5FDC" w:rsidP="00AD5FDC">
            <w:pPr>
              <w:jc w:val="center"/>
              <w:rPr>
                <w:rFonts w:ascii="Times New Roman" w:hAnsi="Times New Roman" w:cs="Times New Roman"/>
                <w:sz w:val="22"/>
                <w:szCs w:val="22"/>
              </w:rPr>
            </w:pPr>
          </w:p>
          <w:p w14:paraId="44407DB5" w14:textId="77777777" w:rsidR="00AD5FDC" w:rsidRPr="007C10D2" w:rsidRDefault="00AD5FDC" w:rsidP="00AD5FDC">
            <w:pPr>
              <w:jc w:val="center"/>
              <w:rPr>
                <w:rFonts w:ascii="Times New Roman" w:hAnsi="Times New Roman" w:cs="Times New Roman"/>
                <w:sz w:val="22"/>
                <w:szCs w:val="22"/>
              </w:rPr>
            </w:pPr>
          </w:p>
        </w:tc>
        <w:tc>
          <w:tcPr>
            <w:tcW w:w="1843" w:type="dxa"/>
          </w:tcPr>
          <w:p w14:paraId="79237206" w14:textId="77777777" w:rsidR="00C108BF" w:rsidRPr="007C10D2" w:rsidRDefault="00AD5FDC" w:rsidP="00C108BF">
            <w:pPr>
              <w:rPr>
                <w:rFonts w:ascii="Times New Roman" w:hAnsi="Times New Roman" w:cs="Times New Roman"/>
                <w:sz w:val="22"/>
                <w:szCs w:val="22"/>
              </w:rPr>
            </w:pPr>
            <w:r w:rsidRPr="007C10D2">
              <w:rPr>
                <w:rFonts w:ascii="Times New Roman" w:hAnsi="Times New Roman" w:cs="Times New Roman"/>
                <w:sz w:val="22"/>
                <w:szCs w:val="22"/>
              </w:rPr>
              <w:lastRenderedPageBreak/>
              <w:t>Na bieżąco</w:t>
            </w:r>
          </w:p>
        </w:tc>
      </w:tr>
      <w:tr w:rsidR="007C10D2" w:rsidRPr="007C10D2" w14:paraId="05CA69D6" w14:textId="77777777" w:rsidTr="005A7812">
        <w:tc>
          <w:tcPr>
            <w:tcW w:w="637" w:type="dxa"/>
          </w:tcPr>
          <w:p w14:paraId="567863B1" w14:textId="77777777" w:rsidR="00191077" w:rsidRPr="007C10D2" w:rsidRDefault="00191077" w:rsidP="00B06E6D">
            <w:pPr>
              <w:numPr>
                <w:ilvl w:val="0"/>
                <w:numId w:val="15"/>
              </w:numPr>
              <w:jc w:val="center"/>
              <w:rPr>
                <w:rFonts w:ascii="Times New Roman" w:hAnsi="Times New Roman" w:cs="Times New Roman"/>
                <w:sz w:val="22"/>
                <w:szCs w:val="22"/>
              </w:rPr>
            </w:pPr>
          </w:p>
        </w:tc>
        <w:tc>
          <w:tcPr>
            <w:tcW w:w="7938" w:type="dxa"/>
          </w:tcPr>
          <w:p w14:paraId="63957256" w14:textId="77777777" w:rsidR="00191077" w:rsidRPr="007C10D2" w:rsidRDefault="00191077" w:rsidP="00C108BF">
            <w:pPr>
              <w:pStyle w:val="Tekstpodstawowywcity3"/>
              <w:ind w:left="0"/>
              <w:jc w:val="left"/>
              <w:rPr>
                <w:rFonts w:ascii="Times New Roman" w:hAnsi="Times New Roman" w:cs="Times New Roman"/>
                <w:snapToGrid w:val="0"/>
                <w:sz w:val="22"/>
                <w:szCs w:val="22"/>
              </w:rPr>
            </w:pPr>
            <w:r w:rsidRPr="007C10D2">
              <w:rPr>
                <w:rFonts w:ascii="Times New Roman" w:hAnsi="Times New Roman" w:cs="Times New Roman"/>
                <w:snapToGrid w:val="0"/>
                <w:sz w:val="22"/>
                <w:szCs w:val="22"/>
              </w:rPr>
              <w:t>Informacje wymagane przez Ustawę o Bankowym Funduszu Gwarancyjnym:</w:t>
            </w:r>
          </w:p>
          <w:p w14:paraId="775042CD" w14:textId="77777777" w:rsidR="002A7DA5" w:rsidRPr="007C10D2" w:rsidRDefault="002A7DA5" w:rsidP="002A7DA5">
            <w:pPr>
              <w:pStyle w:val="Tekstpodstawowywcity3"/>
              <w:numPr>
                <w:ilvl w:val="1"/>
                <w:numId w:val="3"/>
              </w:numPr>
              <w:jc w:val="left"/>
              <w:rPr>
                <w:rFonts w:ascii="Times New Roman" w:hAnsi="Times New Roman" w:cs="Times New Roman"/>
                <w:snapToGrid w:val="0"/>
                <w:sz w:val="22"/>
                <w:szCs w:val="22"/>
              </w:rPr>
            </w:pPr>
            <w:r w:rsidRPr="007C10D2">
              <w:rPr>
                <w:rFonts w:ascii="Times New Roman" w:hAnsi="Times New Roman" w:cs="Times New Roman"/>
                <w:snapToGrid w:val="0"/>
                <w:sz w:val="22"/>
                <w:szCs w:val="22"/>
              </w:rPr>
              <w:t>Informacja o podleganiu obowiązkowemu gwarantowaniu przez BFG,</w:t>
            </w:r>
          </w:p>
          <w:p w14:paraId="5D1FB273" w14:textId="77777777" w:rsidR="002A7DA5" w:rsidRPr="007C10D2" w:rsidRDefault="002A7DA5" w:rsidP="002A7DA5">
            <w:pPr>
              <w:pStyle w:val="Tekstpodstawowywcity3"/>
              <w:numPr>
                <w:ilvl w:val="1"/>
                <w:numId w:val="3"/>
              </w:numPr>
              <w:jc w:val="left"/>
              <w:rPr>
                <w:rFonts w:ascii="Times New Roman" w:hAnsi="Times New Roman" w:cs="Times New Roman"/>
                <w:snapToGrid w:val="0"/>
                <w:sz w:val="22"/>
                <w:szCs w:val="22"/>
              </w:rPr>
            </w:pPr>
            <w:r w:rsidRPr="007C10D2">
              <w:rPr>
                <w:rFonts w:ascii="Times New Roman" w:hAnsi="Times New Roman" w:cs="Times New Roman"/>
                <w:snapToGrid w:val="0"/>
                <w:sz w:val="22"/>
                <w:szCs w:val="22"/>
              </w:rPr>
              <w:t>Informacja o podmiotach uprawnionych do gwarantowania,</w:t>
            </w:r>
          </w:p>
          <w:p w14:paraId="240DC8E9" w14:textId="77777777" w:rsidR="002A7DA5" w:rsidRPr="007C10D2" w:rsidRDefault="002A7DA5" w:rsidP="002A7DA5">
            <w:pPr>
              <w:pStyle w:val="Tekstpodstawowywcity3"/>
              <w:numPr>
                <w:ilvl w:val="1"/>
                <w:numId w:val="3"/>
              </w:numPr>
              <w:jc w:val="left"/>
              <w:rPr>
                <w:rFonts w:ascii="Times New Roman" w:hAnsi="Times New Roman" w:cs="Times New Roman"/>
                <w:snapToGrid w:val="0"/>
                <w:sz w:val="22"/>
                <w:szCs w:val="22"/>
              </w:rPr>
            </w:pPr>
            <w:r w:rsidRPr="007C10D2">
              <w:rPr>
                <w:rFonts w:ascii="Times New Roman" w:hAnsi="Times New Roman" w:cs="Times New Roman"/>
                <w:snapToGrid w:val="0"/>
                <w:sz w:val="22"/>
                <w:szCs w:val="22"/>
              </w:rPr>
              <w:t>Wysokość kwoty lokat objętych gwarantowaniem.</w:t>
            </w:r>
          </w:p>
          <w:p w14:paraId="33900874" w14:textId="77777777" w:rsidR="008E17C8" w:rsidRPr="007C10D2" w:rsidRDefault="008E17C8" w:rsidP="008E17C8">
            <w:pPr>
              <w:pStyle w:val="Tekstpodstawowywcity3"/>
              <w:jc w:val="left"/>
              <w:rPr>
                <w:rFonts w:ascii="Times New Roman" w:hAnsi="Times New Roman" w:cs="Times New Roman"/>
                <w:snapToGrid w:val="0"/>
                <w:sz w:val="22"/>
                <w:szCs w:val="22"/>
              </w:rPr>
            </w:pPr>
          </w:p>
          <w:p w14:paraId="7DF37412" w14:textId="77777777" w:rsidR="008E17C8" w:rsidRPr="007C10D2" w:rsidRDefault="008E17C8" w:rsidP="008E17C8">
            <w:pPr>
              <w:pStyle w:val="Tekstpodstawowywcity3"/>
              <w:jc w:val="left"/>
              <w:rPr>
                <w:rFonts w:ascii="Times New Roman" w:hAnsi="Times New Roman" w:cs="Times New Roman"/>
                <w:snapToGrid w:val="0"/>
                <w:sz w:val="22"/>
                <w:szCs w:val="22"/>
              </w:rPr>
            </w:pPr>
          </w:p>
          <w:p w14:paraId="6FEDD5F5" w14:textId="77777777" w:rsidR="008E17C8" w:rsidRPr="007C10D2" w:rsidRDefault="008E17C8" w:rsidP="008E17C8">
            <w:pPr>
              <w:pStyle w:val="Tekstpodstawowywcity3"/>
              <w:jc w:val="left"/>
              <w:rPr>
                <w:rFonts w:ascii="Times New Roman" w:hAnsi="Times New Roman" w:cs="Times New Roman"/>
                <w:snapToGrid w:val="0"/>
                <w:sz w:val="22"/>
                <w:szCs w:val="22"/>
              </w:rPr>
            </w:pPr>
          </w:p>
          <w:p w14:paraId="4214F05F" w14:textId="0BAE1B23" w:rsidR="00191077" w:rsidRPr="007C10D2" w:rsidRDefault="008E17C8" w:rsidP="008E17C8">
            <w:pPr>
              <w:pStyle w:val="Tekstpodstawowywcity3"/>
              <w:numPr>
                <w:ilvl w:val="1"/>
                <w:numId w:val="3"/>
              </w:numPr>
              <w:jc w:val="left"/>
              <w:rPr>
                <w:rFonts w:ascii="Times New Roman" w:hAnsi="Times New Roman" w:cs="Times New Roman"/>
                <w:snapToGrid w:val="0"/>
                <w:sz w:val="22"/>
                <w:szCs w:val="22"/>
              </w:rPr>
            </w:pPr>
            <w:r w:rsidRPr="007C10D2">
              <w:rPr>
                <w:rFonts w:ascii="Times New Roman" w:hAnsi="Times New Roman" w:cs="Times New Roman"/>
                <w:snapToGrid w:val="0"/>
                <w:sz w:val="22"/>
                <w:szCs w:val="22"/>
              </w:rPr>
              <w:t xml:space="preserve">Wskaźnik MREL  </w:t>
            </w:r>
            <w:bookmarkStart w:id="4" w:name="_Hlk168774568"/>
            <w:r w:rsidRPr="007C10D2">
              <w:rPr>
                <w:rFonts w:ascii="Times New Roman" w:hAnsi="Times New Roman" w:cs="Times New Roman"/>
                <w:i/>
                <w:iCs/>
                <w:snapToGrid w:val="0"/>
                <w:sz w:val="22"/>
                <w:szCs w:val="22"/>
              </w:rPr>
              <w:t xml:space="preserve">dotyczy banków </w:t>
            </w:r>
            <w:r w:rsidRPr="007C10D2">
              <w:rPr>
                <w:rFonts w:ascii="Times New Roman" w:hAnsi="Times New Roman" w:cs="Times New Roman"/>
                <w:i/>
                <w:iCs/>
                <w:sz w:val="22"/>
                <w:szCs w:val="22"/>
              </w:rPr>
              <w:t>o scenariuszu resolution innym niż „likwidacja”</w:t>
            </w:r>
            <w:bookmarkEnd w:id="4"/>
          </w:p>
        </w:tc>
        <w:tc>
          <w:tcPr>
            <w:tcW w:w="1843" w:type="dxa"/>
          </w:tcPr>
          <w:p w14:paraId="13D23F0E" w14:textId="7059700A" w:rsidR="001F0D3B" w:rsidRPr="007C10D2" w:rsidRDefault="00CE3BBD" w:rsidP="00CE3BBD">
            <w:pPr>
              <w:rPr>
                <w:rFonts w:ascii="Times New Roman" w:hAnsi="Times New Roman" w:cs="Times New Roman"/>
                <w:sz w:val="22"/>
                <w:szCs w:val="22"/>
              </w:rPr>
            </w:pPr>
            <w:r>
              <w:rPr>
                <w:rFonts w:ascii="Times New Roman" w:hAnsi="Times New Roman" w:cs="Times New Roman"/>
                <w:sz w:val="22"/>
                <w:szCs w:val="22"/>
              </w:rPr>
              <w:t>Gł. Księgowy</w:t>
            </w:r>
          </w:p>
          <w:p w14:paraId="6B5E191D" w14:textId="77777777" w:rsidR="001F0D3B" w:rsidRPr="007C10D2" w:rsidRDefault="001F0D3B" w:rsidP="00C108BF">
            <w:pPr>
              <w:jc w:val="center"/>
              <w:rPr>
                <w:rFonts w:ascii="Times New Roman" w:hAnsi="Times New Roman" w:cs="Times New Roman"/>
                <w:sz w:val="22"/>
                <w:szCs w:val="22"/>
              </w:rPr>
            </w:pPr>
          </w:p>
          <w:p w14:paraId="6AA9D935" w14:textId="77777777" w:rsidR="001F0D3B" w:rsidRPr="007C10D2" w:rsidRDefault="001F0D3B" w:rsidP="00C108BF">
            <w:pPr>
              <w:jc w:val="center"/>
              <w:rPr>
                <w:rFonts w:ascii="Times New Roman" w:hAnsi="Times New Roman" w:cs="Times New Roman"/>
                <w:sz w:val="22"/>
                <w:szCs w:val="22"/>
              </w:rPr>
            </w:pPr>
          </w:p>
          <w:p w14:paraId="177AFA6A" w14:textId="77777777" w:rsidR="001F0D3B" w:rsidRPr="007C10D2" w:rsidRDefault="001F0D3B" w:rsidP="00C108BF">
            <w:pPr>
              <w:jc w:val="center"/>
              <w:rPr>
                <w:rFonts w:ascii="Times New Roman" w:hAnsi="Times New Roman" w:cs="Times New Roman"/>
                <w:sz w:val="22"/>
                <w:szCs w:val="22"/>
              </w:rPr>
            </w:pPr>
          </w:p>
          <w:p w14:paraId="7399574B" w14:textId="77777777" w:rsidR="001F0D3B" w:rsidRPr="007C10D2" w:rsidRDefault="001F0D3B" w:rsidP="00C108BF">
            <w:pPr>
              <w:jc w:val="center"/>
              <w:rPr>
                <w:rFonts w:ascii="Times New Roman" w:hAnsi="Times New Roman" w:cs="Times New Roman"/>
                <w:sz w:val="22"/>
                <w:szCs w:val="22"/>
              </w:rPr>
            </w:pPr>
          </w:p>
          <w:p w14:paraId="6B2AC1A9" w14:textId="77777777" w:rsidR="001F0D3B" w:rsidRPr="007C10D2" w:rsidRDefault="001F0D3B" w:rsidP="00C108BF">
            <w:pPr>
              <w:jc w:val="center"/>
              <w:rPr>
                <w:rFonts w:ascii="Times New Roman" w:hAnsi="Times New Roman" w:cs="Times New Roman"/>
                <w:sz w:val="22"/>
                <w:szCs w:val="22"/>
              </w:rPr>
            </w:pPr>
          </w:p>
          <w:p w14:paraId="385642D4" w14:textId="625463A2" w:rsidR="001F0D3B" w:rsidRPr="007C10D2" w:rsidRDefault="001F0D3B" w:rsidP="00C108BF">
            <w:pPr>
              <w:jc w:val="center"/>
              <w:rPr>
                <w:rFonts w:ascii="Times New Roman" w:hAnsi="Times New Roman" w:cs="Times New Roman"/>
                <w:sz w:val="22"/>
                <w:szCs w:val="22"/>
              </w:rPr>
            </w:pPr>
            <w:r w:rsidRPr="007C10D2">
              <w:rPr>
                <w:rFonts w:ascii="Times New Roman" w:hAnsi="Times New Roman" w:cs="Times New Roman"/>
                <w:sz w:val="22"/>
                <w:szCs w:val="22"/>
              </w:rPr>
              <w:t xml:space="preserve">Zespół zarządzania </w:t>
            </w:r>
            <w:proofErr w:type="spellStart"/>
            <w:r w:rsidRPr="007C10D2">
              <w:rPr>
                <w:rFonts w:ascii="Times New Roman" w:hAnsi="Times New Roman" w:cs="Times New Roman"/>
                <w:sz w:val="22"/>
                <w:szCs w:val="22"/>
              </w:rPr>
              <w:t>ryzykami</w:t>
            </w:r>
            <w:proofErr w:type="spellEnd"/>
            <w:r w:rsidRPr="007C10D2">
              <w:rPr>
                <w:rFonts w:ascii="Times New Roman" w:hAnsi="Times New Roman" w:cs="Times New Roman"/>
                <w:sz w:val="22"/>
                <w:szCs w:val="22"/>
              </w:rPr>
              <w:t xml:space="preserve"> i analiz</w:t>
            </w:r>
          </w:p>
        </w:tc>
        <w:tc>
          <w:tcPr>
            <w:tcW w:w="1843" w:type="dxa"/>
          </w:tcPr>
          <w:p w14:paraId="604EA272" w14:textId="77777777" w:rsidR="002A7DA5" w:rsidRPr="007C10D2" w:rsidRDefault="00191077" w:rsidP="002A7DA5">
            <w:pPr>
              <w:jc w:val="center"/>
              <w:rPr>
                <w:rFonts w:ascii="Times New Roman" w:hAnsi="Times New Roman" w:cs="Times New Roman"/>
                <w:sz w:val="22"/>
                <w:szCs w:val="22"/>
              </w:rPr>
            </w:pPr>
            <w:r w:rsidRPr="007C10D2">
              <w:rPr>
                <w:rFonts w:ascii="Times New Roman" w:hAnsi="Times New Roman" w:cs="Times New Roman"/>
                <w:sz w:val="22"/>
                <w:szCs w:val="22"/>
              </w:rPr>
              <w:t>Strona www. Banku oraz</w:t>
            </w:r>
            <w:r w:rsidR="002A7DA5" w:rsidRPr="007C10D2">
              <w:rPr>
                <w:rFonts w:ascii="Times New Roman" w:hAnsi="Times New Roman" w:cs="Times New Roman"/>
                <w:sz w:val="22"/>
                <w:szCs w:val="22"/>
              </w:rPr>
              <w:t xml:space="preserve"> Tablica ogłoszeń w miejscu wykonywania czynności</w:t>
            </w:r>
          </w:p>
          <w:p w14:paraId="5AD91AA8" w14:textId="77777777" w:rsidR="001F0D3B" w:rsidRPr="007C10D2" w:rsidRDefault="001F0D3B" w:rsidP="002A7DA5">
            <w:pPr>
              <w:jc w:val="center"/>
              <w:rPr>
                <w:rFonts w:ascii="Times New Roman" w:hAnsi="Times New Roman" w:cs="Times New Roman"/>
                <w:sz w:val="22"/>
                <w:szCs w:val="22"/>
              </w:rPr>
            </w:pPr>
          </w:p>
          <w:p w14:paraId="2418E02E" w14:textId="77777777" w:rsidR="001F0D3B" w:rsidRPr="007C10D2" w:rsidRDefault="001F0D3B" w:rsidP="002A7DA5">
            <w:pPr>
              <w:jc w:val="center"/>
              <w:rPr>
                <w:rFonts w:ascii="Times New Roman" w:hAnsi="Times New Roman" w:cs="Times New Roman"/>
                <w:sz w:val="22"/>
                <w:szCs w:val="22"/>
              </w:rPr>
            </w:pPr>
          </w:p>
          <w:p w14:paraId="05595698" w14:textId="77777777" w:rsidR="007179AB" w:rsidRPr="007C10D2" w:rsidRDefault="001F0D3B" w:rsidP="002A7DA5">
            <w:pPr>
              <w:jc w:val="center"/>
              <w:rPr>
                <w:rFonts w:ascii="Times New Roman" w:hAnsi="Times New Roman" w:cs="Times New Roman"/>
                <w:sz w:val="22"/>
                <w:szCs w:val="22"/>
              </w:rPr>
            </w:pPr>
            <w:r w:rsidRPr="007C10D2">
              <w:rPr>
                <w:rFonts w:ascii="Times New Roman" w:hAnsi="Times New Roman" w:cs="Times New Roman"/>
                <w:sz w:val="22"/>
                <w:szCs w:val="22"/>
              </w:rPr>
              <w:t>Strona</w:t>
            </w:r>
          </w:p>
          <w:p w14:paraId="30D20248" w14:textId="151C9A54" w:rsidR="001F0D3B" w:rsidRPr="007C10D2" w:rsidRDefault="001F0D3B" w:rsidP="002A7DA5">
            <w:pPr>
              <w:jc w:val="center"/>
              <w:rPr>
                <w:rFonts w:ascii="Times New Roman" w:hAnsi="Times New Roman" w:cs="Times New Roman"/>
                <w:sz w:val="20"/>
                <w:szCs w:val="20"/>
              </w:rPr>
            </w:pPr>
            <w:r w:rsidRPr="007C10D2">
              <w:rPr>
                <w:rFonts w:ascii="Times New Roman" w:hAnsi="Times New Roman" w:cs="Times New Roman"/>
                <w:sz w:val="20"/>
                <w:szCs w:val="20"/>
              </w:rPr>
              <w:t>www</w:t>
            </w:r>
            <w:r w:rsidR="007179AB" w:rsidRPr="007C10D2">
              <w:rPr>
                <w:rFonts w:ascii="Times New Roman" w:hAnsi="Times New Roman" w:cs="Times New Roman"/>
                <w:sz w:val="20"/>
                <w:szCs w:val="20"/>
              </w:rPr>
              <w:t>.bsgoworowo.pl</w:t>
            </w:r>
          </w:p>
          <w:p w14:paraId="3B8BD6FA" w14:textId="77777777" w:rsidR="007179AB" w:rsidRPr="007C10D2" w:rsidRDefault="007179AB" w:rsidP="002A7DA5">
            <w:pPr>
              <w:jc w:val="center"/>
              <w:rPr>
                <w:rFonts w:ascii="Times New Roman" w:hAnsi="Times New Roman" w:cs="Times New Roman"/>
                <w:sz w:val="22"/>
                <w:szCs w:val="22"/>
              </w:rPr>
            </w:pPr>
          </w:p>
          <w:p w14:paraId="18562644" w14:textId="77777777" w:rsidR="007179AB" w:rsidRPr="007C10D2" w:rsidRDefault="007179AB" w:rsidP="007179AB">
            <w:pPr>
              <w:rPr>
                <w:rFonts w:ascii="Times New Roman" w:hAnsi="Times New Roman" w:cs="Times New Roman"/>
                <w:sz w:val="22"/>
                <w:szCs w:val="22"/>
              </w:rPr>
            </w:pPr>
          </w:p>
          <w:p w14:paraId="43BACAAD" w14:textId="77777777" w:rsidR="00191077" w:rsidRPr="007C10D2" w:rsidRDefault="00191077" w:rsidP="00AD5FDC">
            <w:pPr>
              <w:jc w:val="center"/>
              <w:rPr>
                <w:rFonts w:ascii="Times New Roman" w:hAnsi="Times New Roman" w:cs="Times New Roman"/>
                <w:sz w:val="22"/>
                <w:szCs w:val="22"/>
              </w:rPr>
            </w:pPr>
            <w:r w:rsidRPr="007C10D2">
              <w:rPr>
                <w:rFonts w:ascii="Times New Roman" w:hAnsi="Times New Roman" w:cs="Times New Roman"/>
                <w:sz w:val="22"/>
                <w:szCs w:val="22"/>
              </w:rPr>
              <w:t xml:space="preserve"> </w:t>
            </w:r>
          </w:p>
        </w:tc>
        <w:tc>
          <w:tcPr>
            <w:tcW w:w="1843" w:type="dxa"/>
          </w:tcPr>
          <w:p w14:paraId="645DBF34" w14:textId="77777777" w:rsidR="00191077" w:rsidRPr="007C10D2" w:rsidRDefault="002A7DA5" w:rsidP="00C108BF">
            <w:pPr>
              <w:rPr>
                <w:rFonts w:ascii="Times New Roman" w:hAnsi="Times New Roman" w:cs="Times New Roman"/>
                <w:sz w:val="22"/>
                <w:szCs w:val="22"/>
              </w:rPr>
            </w:pPr>
            <w:r w:rsidRPr="007C10D2">
              <w:rPr>
                <w:rFonts w:ascii="Times New Roman" w:hAnsi="Times New Roman" w:cs="Times New Roman"/>
                <w:sz w:val="22"/>
                <w:szCs w:val="22"/>
              </w:rPr>
              <w:t>Aktualizacja na bieżąco</w:t>
            </w:r>
          </w:p>
          <w:p w14:paraId="09DD1D3C" w14:textId="77777777" w:rsidR="001F0D3B" w:rsidRPr="007C10D2" w:rsidRDefault="001F0D3B" w:rsidP="00C108BF">
            <w:pPr>
              <w:rPr>
                <w:rFonts w:ascii="Times New Roman" w:hAnsi="Times New Roman" w:cs="Times New Roman"/>
                <w:sz w:val="22"/>
                <w:szCs w:val="22"/>
              </w:rPr>
            </w:pPr>
          </w:p>
          <w:p w14:paraId="49F2E4B9" w14:textId="77777777" w:rsidR="001F0D3B" w:rsidRPr="007C10D2" w:rsidRDefault="001F0D3B" w:rsidP="00C108BF">
            <w:pPr>
              <w:rPr>
                <w:rFonts w:ascii="Times New Roman" w:hAnsi="Times New Roman" w:cs="Times New Roman"/>
                <w:sz w:val="22"/>
                <w:szCs w:val="22"/>
              </w:rPr>
            </w:pPr>
          </w:p>
          <w:p w14:paraId="7CA1604A" w14:textId="77777777" w:rsidR="001F0D3B" w:rsidRPr="007C10D2" w:rsidRDefault="001F0D3B" w:rsidP="00C108BF">
            <w:pPr>
              <w:rPr>
                <w:rFonts w:ascii="Times New Roman" w:hAnsi="Times New Roman" w:cs="Times New Roman"/>
                <w:sz w:val="22"/>
                <w:szCs w:val="22"/>
              </w:rPr>
            </w:pPr>
          </w:p>
          <w:p w14:paraId="249DFB04" w14:textId="77777777" w:rsidR="001F0D3B" w:rsidRPr="007C10D2" w:rsidRDefault="001F0D3B" w:rsidP="00C108BF">
            <w:pPr>
              <w:rPr>
                <w:rFonts w:ascii="Times New Roman" w:hAnsi="Times New Roman" w:cs="Times New Roman"/>
                <w:sz w:val="22"/>
                <w:szCs w:val="22"/>
              </w:rPr>
            </w:pPr>
          </w:p>
          <w:p w14:paraId="10ABBF5E" w14:textId="77777777" w:rsidR="001F0D3B" w:rsidRPr="007C10D2" w:rsidRDefault="001F0D3B" w:rsidP="00C108BF">
            <w:pPr>
              <w:rPr>
                <w:rFonts w:ascii="Times New Roman" w:hAnsi="Times New Roman" w:cs="Times New Roman"/>
                <w:sz w:val="22"/>
                <w:szCs w:val="22"/>
              </w:rPr>
            </w:pPr>
          </w:p>
          <w:p w14:paraId="52CB19B3" w14:textId="77777777" w:rsidR="001F0D3B" w:rsidRPr="007C10D2" w:rsidRDefault="001F0D3B" w:rsidP="00C108BF">
            <w:pPr>
              <w:rPr>
                <w:rFonts w:ascii="Times New Roman" w:hAnsi="Times New Roman" w:cs="Times New Roman"/>
                <w:sz w:val="22"/>
                <w:szCs w:val="22"/>
              </w:rPr>
            </w:pPr>
          </w:p>
          <w:p w14:paraId="77A640D3" w14:textId="591013C8" w:rsidR="001F0D3B" w:rsidRPr="007C10D2" w:rsidRDefault="001F0D3B" w:rsidP="00C108BF">
            <w:pPr>
              <w:rPr>
                <w:rFonts w:ascii="Times New Roman" w:hAnsi="Times New Roman" w:cs="Times New Roman"/>
                <w:sz w:val="22"/>
                <w:szCs w:val="22"/>
              </w:rPr>
            </w:pPr>
            <w:r w:rsidRPr="007C10D2">
              <w:rPr>
                <w:rFonts w:ascii="Times New Roman" w:hAnsi="Times New Roman" w:cs="Times New Roman"/>
                <w:sz w:val="22"/>
                <w:szCs w:val="22"/>
              </w:rPr>
              <w:t xml:space="preserve">W terminie publikacji </w:t>
            </w:r>
            <w:r w:rsidR="003F5D44" w:rsidRPr="007C10D2">
              <w:rPr>
                <w:rFonts w:ascii="Times New Roman" w:hAnsi="Times New Roman" w:cs="Times New Roman"/>
                <w:sz w:val="22"/>
                <w:szCs w:val="22"/>
              </w:rPr>
              <w:t>sprawozdania finansowego</w:t>
            </w:r>
          </w:p>
          <w:p w14:paraId="6FFE31D3" w14:textId="77777777" w:rsidR="001F0D3B" w:rsidRPr="007C10D2" w:rsidRDefault="001F0D3B" w:rsidP="00C108BF">
            <w:pPr>
              <w:rPr>
                <w:rFonts w:ascii="Times New Roman" w:hAnsi="Times New Roman" w:cs="Times New Roman"/>
                <w:sz w:val="22"/>
                <w:szCs w:val="22"/>
              </w:rPr>
            </w:pPr>
          </w:p>
        </w:tc>
      </w:tr>
      <w:tr w:rsidR="007C10D2" w:rsidRPr="007C10D2" w14:paraId="74F7546F" w14:textId="77777777" w:rsidTr="005A7812">
        <w:tc>
          <w:tcPr>
            <w:tcW w:w="637" w:type="dxa"/>
          </w:tcPr>
          <w:p w14:paraId="414AE5B9" w14:textId="77777777" w:rsidR="002A7DA5" w:rsidRPr="007C10D2" w:rsidRDefault="002A7DA5" w:rsidP="00B06E6D">
            <w:pPr>
              <w:numPr>
                <w:ilvl w:val="0"/>
                <w:numId w:val="15"/>
              </w:numPr>
              <w:jc w:val="center"/>
              <w:rPr>
                <w:rFonts w:ascii="Times New Roman" w:hAnsi="Times New Roman" w:cs="Times New Roman"/>
                <w:sz w:val="22"/>
                <w:szCs w:val="22"/>
              </w:rPr>
            </w:pPr>
          </w:p>
        </w:tc>
        <w:tc>
          <w:tcPr>
            <w:tcW w:w="7938" w:type="dxa"/>
          </w:tcPr>
          <w:p w14:paraId="715BBFC6" w14:textId="77777777" w:rsidR="002A7DA5" w:rsidRPr="007C10D2" w:rsidRDefault="002A7DA5" w:rsidP="002A7DA5">
            <w:pPr>
              <w:pStyle w:val="Tekstpodstawowywcity3"/>
              <w:ind w:left="0"/>
              <w:jc w:val="left"/>
              <w:rPr>
                <w:rFonts w:ascii="Times New Roman" w:hAnsi="Times New Roman" w:cs="Times New Roman"/>
                <w:snapToGrid w:val="0"/>
                <w:sz w:val="22"/>
                <w:szCs w:val="22"/>
              </w:rPr>
            </w:pPr>
            <w:r w:rsidRPr="007C10D2">
              <w:rPr>
                <w:rFonts w:ascii="Times New Roman" w:hAnsi="Times New Roman" w:cs="Times New Roman"/>
                <w:snapToGrid w:val="0"/>
                <w:sz w:val="22"/>
                <w:szCs w:val="22"/>
              </w:rPr>
              <w:t>Informacje wymagane przez Ustawę o ochronie danych osobowych:</w:t>
            </w:r>
          </w:p>
          <w:p w14:paraId="67D8F967" w14:textId="77777777" w:rsidR="002A7DA5" w:rsidRPr="007C10D2" w:rsidRDefault="002A7DA5" w:rsidP="00B06E6D">
            <w:pPr>
              <w:pStyle w:val="Tekstpodstawowywcity3"/>
              <w:numPr>
                <w:ilvl w:val="0"/>
                <w:numId w:val="28"/>
              </w:numPr>
              <w:jc w:val="left"/>
              <w:rPr>
                <w:rFonts w:ascii="Times New Roman" w:hAnsi="Times New Roman" w:cs="Times New Roman"/>
                <w:snapToGrid w:val="0"/>
                <w:sz w:val="22"/>
                <w:szCs w:val="22"/>
              </w:rPr>
            </w:pPr>
            <w:r w:rsidRPr="007C10D2">
              <w:rPr>
                <w:rFonts w:ascii="Times New Roman" w:hAnsi="Times New Roman" w:cs="Times New Roman"/>
                <w:snapToGrid w:val="0"/>
                <w:sz w:val="22"/>
                <w:szCs w:val="22"/>
              </w:rPr>
              <w:t>Informacja o Administratorze danych osobowych,</w:t>
            </w:r>
          </w:p>
          <w:p w14:paraId="09E4C29B" w14:textId="77777777" w:rsidR="002A7DA5" w:rsidRPr="007C10D2" w:rsidRDefault="002A7DA5" w:rsidP="00B06E6D">
            <w:pPr>
              <w:pStyle w:val="Tekstpodstawowywcity3"/>
              <w:numPr>
                <w:ilvl w:val="0"/>
                <w:numId w:val="28"/>
              </w:numPr>
              <w:jc w:val="left"/>
              <w:rPr>
                <w:rFonts w:ascii="Times New Roman" w:hAnsi="Times New Roman" w:cs="Times New Roman"/>
                <w:snapToGrid w:val="0"/>
                <w:sz w:val="22"/>
                <w:szCs w:val="22"/>
              </w:rPr>
            </w:pPr>
            <w:r w:rsidRPr="007C10D2">
              <w:rPr>
                <w:rFonts w:ascii="Times New Roman" w:hAnsi="Times New Roman" w:cs="Times New Roman"/>
                <w:snapToGrid w:val="0"/>
                <w:sz w:val="22"/>
                <w:szCs w:val="22"/>
              </w:rPr>
              <w:t xml:space="preserve">Informacja </w:t>
            </w:r>
            <w:r w:rsidR="00E30CDD" w:rsidRPr="007C10D2">
              <w:rPr>
                <w:rFonts w:ascii="Times New Roman" w:hAnsi="Times New Roman" w:cs="Times New Roman"/>
                <w:snapToGrid w:val="0"/>
                <w:sz w:val="22"/>
                <w:szCs w:val="22"/>
              </w:rPr>
              <w:t>o prawach osób których dane są przetwarzane przez Bank,</w:t>
            </w:r>
          </w:p>
          <w:p w14:paraId="280A7426" w14:textId="77777777" w:rsidR="00E30CDD" w:rsidRPr="007C10D2" w:rsidRDefault="00E30CDD" w:rsidP="00B06E6D">
            <w:pPr>
              <w:pStyle w:val="Tekstpodstawowywcity3"/>
              <w:numPr>
                <w:ilvl w:val="0"/>
                <w:numId w:val="28"/>
              </w:numPr>
              <w:jc w:val="left"/>
              <w:rPr>
                <w:rFonts w:ascii="Times New Roman" w:hAnsi="Times New Roman" w:cs="Times New Roman"/>
                <w:snapToGrid w:val="0"/>
                <w:sz w:val="22"/>
                <w:szCs w:val="22"/>
              </w:rPr>
            </w:pPr>
            <w:r w:rsidRPr="007C10D2">
              <w:rPr>
                <w:rFonts w:ascii="Times New Roman" w:hAnsi="Times New Roman" w:cs="Times New Roman"/>
                <w:snapToGrid w:val="0"/>
                <w:sz w:val="22"/>
                <w:szCs w:val="22"/>
              </w:rPr>
              <w:t>Informacje o zasadach przekazywania danych osobowych oraz o podmiotach, którym Bank powierza przetwarzanie danych osobowych,</w:t>
            </w:r>
          </w:p>
          <w:p w14:paraId="3416A65B" w14:textId="77777777" w:rsidR="00E30CDD" w:rsidRPr="007C10D2" w:rsidRDefault="00E30CDD" w:rsidP="00B06E6D">
            <w:pPr>
              <w:pStyle w:val="Tekstpodstawowywcity3"/>
              <w:numPr>
                <w:ilvl w:val="0"/>
                <w:numId w:val="28"/>
              </w:numPr>
              <w:jc w:val="left"/>
              <w:rPr>
                <w:rFonts w:ascii="Times New Roman" w:hAnsi="Times New Roman" w:cs="Times New Roman"/>
                <w:snapToGrid w:val="0"/>
                <w:sz w:val="22"/>
                <w:szCs w:val="22"/>
              </w:rPr>
            </w:pPr>
            <w:r w:rsidRPr="007C10D2">
              <w:rPr>
                <w:rFonts w:ascii="Times New Roman" w:hAnsi="Times New Roman" w:cs="Times New Roman"/>
                <w:snapToGrid w:val="0"/>
                <w:sz w:val="22"/>
                <w:szCs w:val="22"/>
              </w:rPr>
              <w:t>Informacja o IOD</w:t>
            </w:r>
            <w:r w:rsidR="007E393E" w:rsidRPr="007C10D2">
              <w:rPr>
                <w:rFonts w:ascii="Times New Roman" w:hAnsi="Times New Roman" w:cs="Times New Roman"/>
                <w:snapToGrid w:val="0"/>
                <w:sz w:val="22"/>
                <w:szCs w:val="22"/>
              </w:rPr>
              <w:t>, w tym dane kontaktowe IOD</w:t>
            </w:r>
            <w:r w:rsidRPr="007C10D2">
              <w:rPr>
                <w:rFonts w:ascii="Times New Roman" w:hAnsi="Times New Roman" w:cs="Times New Roman"/>
                <w:snapToGrid w:val="0"/>
                <w:sz w:val="22"/>
                <w:szCs w:val="22"/>
              </w:rPr>
              <w:t xml:space="preserve">. </w:t>
            </w:r>
          </w:p>
        </w:tc>
        <w:tc>
          <w:tcPr>
            <w:tcW w:w="1843" w:type="dxa"/>
          </w:tcPr>
          <w:p w14:paraId="63F8AEA6" w14:textId="77777777" w:rsidR="002A7DA5" w:rsidRPr="007C10D2" w:rsidRDefault="002A7DA5" w:rsidP="002A7DA5">
            <w:pPr>
              <w:jc w:val="center"/>
              <w:rPr>
                <w:rFonts w:ascii="Times New Roman" w:hAnsi="Times New Roman" w:cs="Times New Roman"/>
                <w:sz w:val="22"/>
                <w:szCs w:val="22"/>
              </w:rPr>
            </w:pPr>
            <w:r w:rsidRPr="007C10D2">
              <w:rPr>
                <w:rFonts w:ascii="Times New Roman" w:hAnsi="Times New Roman" w:cs="Times New Roman"/>
                <w:sz w:val="22"/>
                <w:szCs w:val="22"/>
              </w:rPr>
              <w:t>IOD</w:t>
            </w:r>
          </w:p>
        </w:tc>
        <w:tc>
          <w:tcPr>
            <w:tcW w:w="1843" w:type="dxa"/>
          </w:tcPr>
          <w:p w14:paraId="5650FBFB" w14:textId="77777777" w:rsidR="002A7DA5" w:rsidRPr="007C10D2" w:rsidRDefault="002A7DA5" w:rsidP="002A7DA5">
            <w:pPr>
              <w:jc w:val="center"/>
              <w:rPr>
                <w:rFonts w:ascii="Times New Roman" w:hAnsi="Times New Roman" w:cs="Times New Roman"/>
                <w:sz w:val="22"/>
                <w:szCs w:val="22"/>
              </w:rPr>
            </w:pPr>
            <w:r w:rsidRPr="007C10D2">
              <w:rPr>
                <w:rFonts w:ascii="Times New Roman" w:hAnsi="Times New Roman" w:cs="Times New Roman"/>
                <w:sz w:val="22"/>
                <w:szCs w:val="22"/>
              </w:rPr>
              <w:t>Strona www. Banku oraz Tablica ogłoszeń w miejscu wykonywania czynności</w:t>
            </w:r>
          </w:p>
          <w:p w14:paraId="7BDFB8AD" w14:textId="77777777" w:rsidR="002A7DA5" w:rsidRPr="007C10D2" w:rsidRDefault="002A7DA5" w:rsidP="002A7DA5">
            <w:pPr>
              <w:jc w:val="center"/>
              <w:rPr>
                <w:rFonts w:ascii="Times New Roman" w:hAnsi="Times New Roman" w:cs="Times New Roman"/>
                <w:sz w:val="22"/>
                <w:szCs w:val="22"/>
              </w:rPr>
            </w:pPr>
            <w:r w:rsidRPr="007C10D2">
              <w:rPr>
                <w:rFonts w:ascii="Times New Roman" w:hAnsi="Times New Roman" w:cs="Times New Roman"/>
                <w:sz w:val="22"/>
                <w:szCs w:val="22"/>
              </w:rPr>
              <w:t xml:space="preserve"> </w:t>
            </w:r>
          </w:p>
        </w:tc>
        <w:tc>
          <w:tcPr>
            <w:tcW w:w="1843" w:type="dxa"/>
          </w:tcPr>
          <w:p w14:paraId="50BCC5A6" w14:textId="77777777" w:rsidR="002A7DA5" w:rsidRPr="007C10D2" w:rsidRDefault="002A7DA5" w:rsidP="002A7DA5">
            <w:pPr>
              <w:rPr>
                <w:rFonts w:ascii="Times New Roman" w:hAnsi="Times New Roman" w:cs="Times New Roman"/>
                <w:sz w:val="22"/>
                <w:szCs w:val="22"/>
              </w:rPr>
            </w:pPr>
            <w:r w:rsidRPr="007C10D2">
              <w:rPr>
                <w:rFonts w:ascii="Times New Roman" w:hAnsi="Times New Roman" w:cs="Times New Roman"/>
                <w:sz w:val="22"/>
                <w:szCs w:val="22"/>
              </w:rPr>
              <w:t>Aktualizacja na bieżąco</w:t>
            </w:r>
          </w:p>
        </w:tc>
      </w:tr>
      <w:tr w:rsidR="007C10D2" w:rsidRPr="007C10D2" w14:paraId="124BC740" w14:textId="77777777" w:rsidTr="00C32C13">
        <w:tc>
          <w:tcPr>
            <w:tcW w:w="637" w:type="dxa"/>
          </w:tcPr>
          <w:p w14:paraId="47034A65" w14:textId="77777777" w:rsidR="00496919" w:rsidRPr="007C10D2" w:rsidRDefault="00496919" w:rsidP="00B06E6D">
            <w:pPr>
              <w:numPr>
                <w:ilvl w:val="0"/>
                <w:numId w:val="15"/>
              </w:numPr>
              <w:jc w:val="center"/>
              <w:rPr>
                <w:rFonts w:ascii="Times New Roman" w:hAnsi="Times New Roman" w:cs="Times New Roman"/>
                <w:sz w:val="22"/>
                <w:szCs w:val="22"/>
              </w:rPr>
            </w:pPr>
          </w:p>
        </w:tc>
        <w:tc>
          <w:tcPr>
            <w:tcW w:w="7938" w:type="dxa"/>
          </w:tcPr>
          <w:p w14:paraId="6449DBAE" w14:textId="3AD4088B" w:rsidR="00496919" w:rsidRPr="007C10D2" w:rsidRDefault="00496919" w:rsidP="002A7DA5">
            <w:pPr>
              <w:pStyle w:val="Tekstpodstawowywcity3"/>
              <w:ind w:left="0"/>
              <w:jc w:val="left"/>
              <w:rPr>
                <w:rFonts w:ascii="Times New Roman" w:hAnsi="Times New Roman" w:cs="Times New Roman"/>
                <w:snapToGrid w:val="0"/>
                <w:sz w:val="22"/>
                <w:szCs w:val="22"/>
              </w:rPr>
            </w:pPr>
            <w:r w:rsidRPr="007C10D2">
              <w:rPr>
                <w:rFonts w:ascii="Times New Roman" w:hAnsi="Times New Roman" w:cs="Times New Roman"/>
                <w:sz w:val="22"/>
                <w:szCs w:val="22"/>
              </w:rPr>
              <w:t>Informacje ujawniane na podstawie Rozporządzenia wykonawczego Komisji (UE) 2022/631 z dnia 13 kwietnia 2022 r. zmieniającego wykonawcze standardy techniczne określone w rozporządzenie wykonawczym (UE) 2021/637 w odniesieniu do ujawniania informacji na temat ekspozycji na ryzyko stopy procentowej w odniesieniu do pozycji nieuwzględnionych w portfelu handlowym</w:t>
            </w:r>
          </w:p>
        </w:tc>
        <w:tc>
          <w:tcPr>
            <w:tcW w:w="1843" w:type="dxa"/>
          </w:tcPr>
          <w:p w14:paraId="007D9DFF" w14:textId="329F3508" w:rsidR="00496919" w:rsidRPr="007C10D2" w:rsidRDefault="00496919" w:rsidP="002A7DA5">
            <w:pPr>
              <w:jc w:val="center"/>
              <w:rPr>
                <w:rFonts w:ascii="Times New Roman" w:hAnsi="Times New Roman" w:cs="Times New Roman"/>
                <w:sz w:val="22"/>
                <w:szCs w:val="22"/>
              </w:rPr>
            </w:pPr>
            <w:r w:rsidRPr="007C10D2">
              <w:rPr>
                <w:rFonts w:ascii="Times New Roman" w:hAnsi="Times New Roman" w:cs="Times New Roman"/>
                <w:sz w:val="22"/>
                <w:szCs w:val="22"/>
              </w:rPr>
              <w:t xml:space="preserve">Zespół zarządzania </w:t>
            </w:r>
            <w:proofErr w:type="spellStart"/>
            <w:r w:rsidRPr="007C10D2">
              <w:rPr>
                <w:rFonts w:ascii="Times New Roman" w:hAnsi="Times New Roman" w:cs="Times New Roman"/>
                <w:sz w:val="22"/>
                <w:szCs w:val="22"/>
              </w:rPr>
              <w:t>ryzykami</w:t>
            </w:r>
            <w:proofErr w:type="spellEnd"/>
            <w:r w:rsidRPr="007C10D2">
              <w:rPr>
                <w:rFonts w:ascii="Times New Roman" w:hAnsi="Times New Roman" w:cs="Times New Roman"/>
                <w:sz w:val="22"/>
                <w:szCs w:val="22"/>
              </w:rPr>
              <w:t xml:space="preserve"> i analiz</w:t>
            </w:r>
          </w:p>
        </w:tc>
        <w:tc>
          <w:tcPr>
            <w:tcW w:w="1843" w:type="dxa"/>
          </w:tcPr>
          <w:p w14:paraId="3E88D50E" w14:textId="77777777" w:rsidR="00496919" w:rsidRPr="007C10D2" w:rsidRDefault="00496919" w:rsidP="00496919">
            <w:pPr>
              <w:jc w:val="center"/>
              <w:rPr>
                <w:rFonts w:ascii="Times New Roman" w:hAnsi="Times New Roman" w:cs="Times New Roman"/>
                <w:sz w:val="22"/>
                <w:szCs w:val="22"/>
              </w:rPr>
            </w:pPr>
            <w:r w:rsidRPr="007C10D2">
              <w:rPr>
                <w:rFonts w:ascii="Times New Roman" w:hAnsi="Times New Roman" w:cs="Times New Roman"/>
                <w:sz w:val="22"/>
                <w:szCs w:val="22"/>
              </w:rPr>
              <w:t>Strona www</w:t>
            </w:r>
          </w:p>
          <w:p w14:paraId="6E22F5CF" w14:textId="77777777" w:rsidR="00496919" w:rsidRPr="007C10D2" w:rsidRDefault="00496919" w:rsidP="002A7DA5">
            <w:pPr>
              <w:jc w:val="center"/>
              <w:rPr>
                <w:rFonts w:ascii="Times New Roman" w:hAnsi="Times New Roman" w:cs="Times New Roman"/>
                <w:sz w:val="22"/>
                <w:szCs w:val="22"/>
              </w:rPr>
            </w:pPr>
          </w:p>
        </w:tc>
        <w:tc>
          <w:tcPr>
            <w:tcW w:w="1843" w:type="dxa"/>
          </w:tcPr>
          <w:p w14:paraId="2DF042AA" w14:textId="77777777" w:rsidR="00496919" w:rsidRPr="007C10D2" w:rsidRDefault="00496919" w:rsidP="00496919">
            <w:pPr>
              <w:rPr>
                <w:rFonts w:ascii="Times New Roman" w:hAnsi="Times New Roman" w:cs="Times New Roman"/>
                <w:sz w:val="22"/>
                <w:szCs w:val="22"/>
              </w:rPr>
            </w:pPr>
            <w:r w:rsidRPr="007C10D2">
              <w:rPr>
                <w:rFonts w:ascii="Times New Roman" w:hAnsi="Times New Roman" w:cs="Times New Roman"/>
                <w:sz w:val="22"/>
                <w:szCs w:val="22"/>
              </w:rPr>
              <w:t>W terminie publikacji sprawozdania finansowego</w:t>
            </w:r>
          </w:p>
          <w:p w14:paraId="4E3CEC8D" w14:textId="77777777" w:rsidR="00496919" w:rsidRPr="007C10D2" w:rsidRDefault="00496919" w:rsidP="002A7DA5">
            <w:pPr>
              <w:rPr>
                <w:rFonts w:ascii="Times New Roman" w:hAnsi="Times New Roman" w:cs="Times New Roman"/>
                <w:sz w:val="22"/>
                <w:szCs w:val="22"/>
              </w:rPr>
            </w:pPr>
          </w:p>
        </w:tc>
      </w:tr>
      <w:tr w:rsidR="00C32C13" w:rsidRPr="007C10D2" w14:paraId="6B7A2359" w14:textId="77777777" w:rsidTr="00C32C13">
        <w:tc>
          <w:tcPr>
            <w:tcW w:w="637" w:type="dxa"/>
          </w:tcPr>
          <w:p w14:paraId="6BA65A00" w14:textId="77777777" w:rsidR="00C32C13" w:rsidRPr="007C10D2" w:rsidRDefault="00C32C13" w:rsidP="00B06E6D">
            <w:pPr>
              <w:numPr>
                <w:ilvl w:val="0"/>
                <w:numId w:val="15"/>
              </w:numPr>
              <w:jc w:val="center"/>
              <w:rPr>
                <w:rFonts w:ascii="Times New Roman" w:hAnsi="Times New Roman" w:cs="Times New Roman"/>
                <w:sz w:val="22"/>
                <w:szCs w:val="22"/>
              </w:rPr>
            </w:pPr>
          </w:p>
        </w:tc>
        <w:tc>
          <w:tcPr>
            <w:tcW w:w="7938" w:type="dxa"/>
          </w:tcPr>
          <w:p w14:paraId="67D79534" w14:textId="5E9605FE" w:rsidR="00C32C13" w:rsidRPr="007C10D2" w:rsidRDefault="00C32C13" w:rsidP="002A7DA5">
            <w:pPr>
              <w:pStyle w:val="Tekstpodstawowywcity3"/>
              <w:ind w:left="0"/>
              <w:jc w:val="left"/>
              <w:rPr>
                <w:rFonts w:ascii="Times New Roman" w:hAnsi="Times New Roman" w:cs="Times New Roman"/>
                <w:sz w:val="22"/>
                <w:szCs w:val="22"/>
              </w:rPr>
            </w:pPr>
            <w:r w:rsidRPr="007C10D2">
              <w:rPr>
                <w:rFonts w:ascii="Times New Roman" w:hAnsi="Times New Roman" w:cs="Times New Roman"/>
                <w:sz w:val="22"/>
                <w:szCs w:val="22"/>
              </w:rPr>
              <w:t xml:space="preserve">Deklaracja dostępności usług, zgodnie z zapisami Ustawy </w:t>
            </w:r>
            <w:bookmarkStart w:id="5" w:name="_Hlk198888420"/>
            <w:r w:rsidRPr="007C10D2">
              <w:rPr>
                <w:rFonts w:ascii="Times New Roman" w:hAnsi="Times New Roman" w:cs="Times New Roman"/>
                <w:sz w:val="22"/>
                <w:szCs w:val="22"/>
              </w:rPr>
              <w:t>z dnia 26 kwietnia 2024r. o zapewnianiu spełniania wymagań dostępności niektórych produktów i usług przez podmioty gospodarcze</w:t>
            </w:r>
            <w:bookmarkEnd w:id="5"/>
          </w:p>
        </w:tc>
        <w:tc>
          <w:tcPr>
            <w:tcW w:w="1843" w:type="dxa"/>
          </w:tcPr>
          <w:p w14:paraId="5483D89C" w14:textId="6E3EADA0" w:rsidR="00C32C13" w:rsidRPr="00270975" w:rsidRDefault="00270975" w:rsidP="002A7DA5">
            <w:pPr>
              <w:jc w:val="center"/>
              <w:rPr>
                <w:rFonts w:ascii="Times New Roman" w:hAnsi="Times New Roman" w:cs="Times New Roman"/>
                <w:sz w:val="22"/>
                <w:szCs w:val="22"/>
              </w:rPr>
            </w:pPr>
            <w:r w:rsidRPr="00270975">
              <w:rPr>
                <w:rFonts w:ascii="Times New Roman" w:hAnsi="Times New Roman" w:cs="Times New Roman"/>
                <w:sz w:val="22"/>
                <w:szCs w:val="22"/>
              </w:rPr>
              <w:t>Zespół handlowy</w:t>
            </w:r>
          </w:p>
        </w:tc>
        <w:tc>
          <w:tcPr>
            <w:tcW w:w="1843" w:type="dxa"/>
          </w:tcPr>
          <w:p w14:paraId="6A71DDB3" w14:textId="58359B7E" w:rsidR="00C32C13" w:rsidRPr="00270975" w:rsidRDefault="00144D38" w:rsidP="007179AB">
            <w:pPr>
              <w:rPr>
                <w:rFonts w:ascii="Times New Roman" w:hAnsi="Times New Roman" w:cs="Times New Roman"/>
                <w:sz w:val="22"/>
                <w:szCs w:val="22"/>
              </w:rPr>
            </w:pPr>
            <w:hyperlink r:id="rId14" w:history="1">
              <w:r w:rsidR="007179AB" w:rsidRPr="00270975">
                <w:rPr>
                  <w:rStyle w:val="Hipercze"/>
                  <w:rFonts w:ascii="Times New Roman" w:hAnsi="Times New Roman" w:cs="Times New Roman"/>
                  <w:color w:val="auto"/>
                  <w:sz w:val="22"/>
                  <w:szCs w:val="22"/>
                </w:rPr>
                <w:t>www.bsgoworowo.pl</w:t>
              </w:r>
            </w:hyperlink>
          </w:p>
          <w:p w14:paraId="6119C803" w14:textId="211197DE" w:rsidR="007179AB" w:rsidRPr="00270975" w:rsidRDefault="007179AB" w:rsidP="007179AB">
            <w:pPr>
              <w:rPr>
                <w:rFonts w:ascii="Times New Roman" w:hAnsi="Times New Roman" w:cs="Times New Roman"/>
                <w:sz w:val="22"/>
                <w:szCs w:val="22"/>
              </w:rPr>
            </w:pPr>
          </w:p>
        </w:tc>
        <w:tc>
          <w:tcPr>
            <w:tcW w:w="1843" w:type="dxa"/>
          </w:tcPr>
          <w:p w14:paraId="351B1825" w14:textId="259331BF" w:rsidR="00C32C13" w:rsidRPr="00270975" w:rsidRDefault="00C32C13" w:rsidP="00496919">
            <w:pPr>
              <w:rPr>
                <w:rFonts w:ascii="Times New Roman" w:hAnsi="Times New Roman" w:cs="Times New Roman"/>
                <w:sz w:val="22"/>
                <w:szCs w:val="22"/>
              </w:rPr>
            </w:pPr>
            <w:r w:rsidRPr="00270975">
              <w:rPr>
                <w:rFonts w:ascii="Times New Roman" w:hAnsi="Times New Roman" w:cs="Times New Roman"/>
                <w:sz w:val="22"/>
                <w:szCs w:val="22"/>
              </w:rPr>
              <w:t>Aktualizacja na bieżąco</w:t>
            </w:r>
          </w:p>
        </w:tc>
      </w:tr>
    </w:tbl>
    <w:p w14:paraId="014976CC" w14:textId="77777777" w:rsidR="007B53E3" w:rsidRPr="007C10D2" w:rsidRDefault="007B53E3">
      <w:pPr>
        <w:spacing w:line="360" w:lineRule="auto"/>
        <w:rPr>
          <w:rFonts w:ascii="Times New Roman" w:hAnsi="Times New Roman" w:cs="Times New Roman"/>
          <w:sz w:val="21"/>
          <w:szCs w:val="21"/>
        </w:rPr>
      </w:pPr>
    </w:p>
    <w:p w14:paraId="7A5F2801" w14:textId="77777777" w:rsidR="007B53E3" w:rsidRPr="007C10D2" w:rsidRDefault="007B53E3">
      <w:pPr>
        <w:spacing w:line="360" w:lineRule="auto"/>
        <w:jc w:val="right"/>
        <w:rPr>
          <w:rFonts w:ascii="Times New Roman" w:hAnsi="Times New Roman" w:cs="Times New Roman"/>
        </w:rPr>
      </w:pPr>
    </w:p>
    <w:p w14:paraId="2F8E9B89" w14:textId="77777777" w:rsidR="008530E8" w:rsidRPr="007C10D2" w:rsidRDefault="008530E8">
      <w:pPr>
        <w:spacing w:line="360" w:lineRule="auto"/>
        <w:jc w:val="right"/>
        <w:rPr>
          <w:rFonts w:ascii="Times New Roman" w:hAnsi="Times New Roman" w:cs="Times New Roman"/>
        </w:rPr>
        <w:sectPr w:rsidR="008530E8" w:rsidRPr="007C10D2" w:rsidSect="004035E1">
          <w:pgSz w:w="16838" w:h="11906" w:orient="landscape"/>
          <w:pgMar w:top="1134" w:right="1134" w:bottom="1134" w:left="1134" w:header="284" w:footer="680" w:gutter="0"/>
          <w:cols w:space="708"/>
          <w:titlePg/>
          <w:docGrid w:linePitch="360"/>
        </w:sectPr>
      </w:pPr>
    </w:p>
    <w:p w14:paraId="0CF1AED0" w14:textId="77777777" w:rsidR="0038190D" w:rsidRPr="007C10D2" w:rsidRDefault="0038190D">
      <w:pPr>
        <w:spacing w:line="360" w:lineRule="auto"/>
        <w:jc w:val="right"/>
        <w:rPr>
          <w:rFonts w:ascii="Times New Roman" w:hAnsi="Times New Roman" w:cs="Times New Roman"/>
        </w:rPr>
      </w:pPr>
    </w:p>
    <w:p w14:paraId="2ECC2573" w14:textId="77777777" w:rsidR="0038190D" w:rsidRPr="008E17C8" w:rsidRDefault="0038190D">
      <w:pPr>
        <w:spacing w:line="360" w:lineRule="auto"/>
        <w:jc w:val="right"/>
        <w:rPr>
          <w:rFonts w:ascii="Times New Roman" w:hAnsi="Times New Roman" w:cs="Times New Roman"/>
        </w:rPr>
      </w:pPr>
    </w:p>
    <w:p w14:paraId="68C575FB" w14:textId="77777777" w:rsidR="0038190D" w:rsidRPr="008E17C8" w:rsidRDefault="0038190D">
      <w:pPr>
        <w:spacing w:line="360" w:lineRule="auto"/>
        <w:jc w:val="right"/>
        <w:rPr>
          <w:rFonts w:ascii="Times New Roman" w:hAnsi="Times New Roman" w:cs="Times New Roman"/>
        </w:rPr>
      </w:pPr>
    </w:p>
    <w:p w14:paraId="7A4C09C7" w14:textId="77777777" w:rsidR="0038190D" w:rsidRPr="008E17C8" w:rsidRDefault="0038190D">
      <w:pPr>
        <w:spacing w:line="360" w:lineRule="auto"/>
        <w:jc w:val="right"/>
        <w:rPr>
          <w:rFonts w:ascii="Times New Roman" w:hAnsi="Times New Roman" w:cs="Times New Roman"/>
        </w:rPr>
      </w:pPr>
    </w:p>
    <w:p w14:paraId="3434DDD5" w14:textId="5AC16E94" w:rsidR="00D41C60" w:rsidRPr="008E17C8" w:rsidRDefault="001B7D86" w:rsidP="00181005">
      <w:pPr>
        <w:spacing w:line="360" w:lineRule="auto"/>
        <w:jc w:val="right"/>
        <w:rPr>
          <w:rFonts w:ascii="Times New Roman" w:hAnsi="Times New Roman" w:cs="Times New Roman"/>
        </w:rPr>
      </w:pPr>
      <w:r w:rsidRPr="008E17C8">
        <w:rPr>
          <w:rFonts w:ascii="Times New Roman" w:hAnsi="Times New Roman" w:cs="Times New Roman"/>
        </w:rPr>
        <w:t>Załącznik 2</w:t>
      </w:r>
    </w:p>
    <w:p w14:paraId="79833437" w14:textId="77777777" w:rsidR="00D41C60" w:rsidRPr="008E17C8" w:rsidRDefault="00D41C60" w:rsidP="00D41C60">
      <w:pPr>
        <w:jc w:val="right"/>
        <w:rPr>
          <w:rFonts w:ascii="Times New Roman" w:hAnsi="Times New Roman" w:cs="Times New Roman"/>
        </w:rPr>
      </w:pPr>
    </w:p>
    <w:p w14:paraId="39771FDC" w14:textId="77777777" w:rsidR="00D41C60" w:rsidRPr="008E17C8" w:rsidRDefault="00D41C60" w:rsidP="00D41C60">
      <w:pPr>
        <w:jc w:val="right"/>
        <w:rPr>
          <w:rFonts w:ascii="Times New Roman" w:hAnsi="Times New Roman" w:cs="Times New Roman"/>
        </w:rPr>
      </w:pPr>
    </w:p>
    <w:p w14:paraId="2A0E1AC2" w14:textId="77777777" w:rsidR="00D41C60" w:rsidRPr="008E17C8" w:rsidRDefault="00D41C60" w:rsidP="00D41C60">
      <w:pPr>
        <w:jc w:val="center"/>
        <w:rPr>
          <w:rFonts w:ascii="Times New Roman" w:hAnsi="Times New Roman" w:cs="Times New Roman"/>
          <w:b/>
        </w:rPr>
      </w:pPr>
      <w:r w:rsidRPr="008E17C8">
        <w:rPr>
          <w:rFonts w:ascii="Times New Roman" w:hAnsi="Times New Roman" w:cs="Times New Roman"/>
          <w:b/>
        </w:rPr>
        <w:t>Ujawnienia w zakresie ekspozycji nieobsługiwanych i restrukturyzowanych</w:t>
      </w:r>
    </w:p>
    <w:p w14:paraId="7A25442A" w14:textId="77777777" w:rsidR="00D41C60" w:rsidRPr="008E17C8" w:rsidRDefault="00D41C60" w:rsidP="00D41C60">
      <w:pPr>
        <w:jc w:val="center"/>
        <w:rPr>
          <w:rFonts w:ascii="Times New Roman" w:hAnsi="Times New Roman" w:cs="Times New Roman"/>
        </w:rPr>
      </w:pPr>
    </w:p>
    <w:p w14:paraId="02B4E83D" w14:textId="77777777" w:rsidR="00D41C60" w:rsidRPr="008E17C8" w:rsidRDefault="00D41C60" w:rsidP="00D41C60">
      <w:pPr>
        <w:jc w:val="both"/>
        <w:rPr>
          <w:rFonts w:ascii="Times New Roman" w:hAnsi="Times New Roman" w:cs="Times New Roman"/>
          <w:b/>
          <w:szCs w:val="16"/>
          <w:u w:val="single"/>
        </w:rPr>
      </w:pPr>
      <w:r w:rsidRPr="008E17C8">
        <w:rPr>
          <w:rFonts w:ascii="Times New Roman" w:hAnsi="Times New Roman" w:cs="Times New Roman"/>
          <w:b/>
          <w:szCs w:val="16"/>
          <w:u w:val="single"/>
        </w:rPr>
        <w:t>Tabela 1: Jakość kredytowa ekspozycji restrukturyzowanych:</w:t>
      </w:r>
    </w:p>
    <w:p w14:paraId="713E0BB4" w14:textId="77777777" w:rsidR="00D41C60" w:rsidRPr="008E17C8" w:rsidRDefault="00D41C60" w:rsidP="00D41C60">
      <w:pPr>
        <w:jc w:val="both"/>
        <w:rPr>
          <w:rFonts w:ascii="Times New Roman" w:hAnsi="Times New Roman" w:cs="Times New Roman"/>
          <w:i/>
          <w:color w:val="00B050"/>
          <w:szCs w:val="16"/>
        </w:rPr>
      </w:pPr>
      <w:r w:rsidRPr="008E17C8">
        <w:rPr>
          <w:rFonts w:ascii="Times New Roman" w:hAnsi="Times New Roman" w:cs="Times New Roman"/>
          <w:i/>
          <w:color w:val="00B050"/>
          <w:szCs w:val="16"/>
        </w:rPr>
        <w:t>(Ekspozycje restrukturyzowane - zgodnie z definicją zawartą w Zasadach zarządzania ryzykiem kredytowym oraz Zasadach zarządzania ryzykiem inwestycji)</w:t>
      </w:r>
    </w:p>
    <w:p w14:paraId="7453E449" w14:textId="77777777" w:rsidR="00D41C60" w:rsidRPr="008E17C8" w:rsidRDefault="00D41C60" w:rsidP="00D41C60">
      <w:pPr>
        <w:jc w:val="both"/>
        <w:rPr>
          <w:rFonts w:ascii="Times New Roman" w:hAnsi="Times New Roman" w:cs="Times New Roman"/>
          <w:szCs w:val="16"/>
        </w:rPr>
      </w:pPr>
      <w:r w:rsidRPr="008E17C8">
        <w:rPr>
          <w:rFonts w:ascii="Times New Roman" w:hAnsi="Times New Roman" w:cs="Times New Roman"/>
          <w:b/>
          <w:szCs w:val="16"/>
        </w:rPr>
        <w:t>Częstotliwość raportowania</w:t>
      </w:r>
      <w:r w:rsidRPr="008E17C8">
        <w:rPr>
          <w:rFonts w:ascii="Times New Roman" w:hAnsi="Times New Roman" w:cs="Times New Roman"/>
          <w:szCs w:val="16"/>
        </w:rPr>
        <w:t>: raz w roku.</w:t>
      </w:r>
    </w:p>
    <w:p w14:paraId="5169CB04" w14:textId="77777777" w:rsidR="00D41C60" w:rsidRPr="008E17C8" w:rsidRDefault="00D41C60" w:rsidP="00D41C60">
      <w:pPr>
        <w:jc w:val="both"/>
        <w:rPr>
          <w:rFonts w:ascii="Times New Roman" w:hAnsi="Times New Roman" w:cs="Times New Roman"/>
          <w:szCs w:val="16"/>
        </w:rPr>
      </w:pPr>
    </w:p>
    <w:tbl>
      <w:tblPr>
        <w:tblW w:w="14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1583"/>
        <w:gridCol w:w="1556"/>
        <w:gridCol w:w="979"/>
        <w:gridCol w:w="1442"/>
        <w:gridCol w:w="1211"/>
        <w:gridCol w:w="1804"/>
        <w:gridCol w:w="95"/>
        <w:gridCol w:w="1736"/>
        <w:gridCol w:w="1034"/>
        <w:gridCol w:w="2178"/>
      </w:tblGrid>
      <w:tr w:rsidR="00B06E6D" w:rsidRPr="008E17C8" w14:paraId="344D96C8" w14:textId="77777777" w:rsidTr="00B06E6D">
        <w:tc>
          <w:tcPr>
            <w:tcW w:w="1999" w:type="dxa"/>
            <w:gridSpan w:val="2"/>
          </w:tcPr>
          <w:p w14:paraId="629E3417" w14:textId="77777777" w:rsidR="00D41C60" w:rsidRPr="008E17C8" w:rsidRDefault="00D41C60" w:rsidP="00B06E6D">
            <w:pPr>
              <w:jc w:val="both"/>
              <w:rPr>
                <w:rFonts w:ascii="Times New Roman" w:hAnsi="Times New Roman" w:cs="Times New Roman"/>
                <w:sz w:val="18"/>
                <w:szCs w:val="20"/>
              </w:rPr>
            </w:pPr>
          </w:p>
        </w:tc>
        <w:tc>
          <w:tcPr>
            <w:tcW w:w="1556" w:type="dxa"/>
          </w:tcPr>
          <w:p w14:paraId="6A4135D0" w14:textId="65ADFF98" w:rsidR="00D41C60" w:rsidRPr="008E17C8" w:rsidRDefault="00945019" w:rsidP="00B06E6D">
            <w:pPr>
              <w:jc w:val="center"/>
              <w:rPr>
                <w:rFonts w:ascii="Times New Roman" w:hAnsi="Times New Roman" w:cs="Times New Roman"/>
                <w:sz w:val="18"/>
                <w:szCs w:val="20"/>
              </w:rPr>
            </w:pPr>
            <w:r w:rsidRPr="008E17C8">
              <w:rPr>
                <w:rFonts w:ascii="Times New Roman" w:hAnsi="Times New Roman" w:cs="Times New Roman"/>
                <w:sz w:val="18"/>
                <w:szCs w:val="20"/>
              </w:rPr>
              <w:t>A</w:t>
            </w:r>
          </w:p>
        </w:tc>
        <w:tc>
          <w:tcPr>
            <w:tcW w:w="986" w:type="dxa"/>
          </w:tcPr>
          <w:p w14:paraId="62BA5622"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b</w:t>
            </w:r>
          </w:p>
        </w:tc>
        <w:tc>
          <w:tcPr>
            <w:tcW w:w="1444" w:type="dxa"/>
          </w:tcPr>
          <w:p w14:paraId="218753EF"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c</w:t>
            </w:r>
          </w:p>
        </w:tc>
        <w:tc>
          <w:tcPr>
            <w:tcW w:w="1213" w:type="dxa"/>
          </w:tcPr>
          <w:p w14:paraId="5FABBBC8"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d</w:t>
            </w:r>
          </w:p>
        </w:tc>
        <w:tc>
          <w:tcPr>
            <w:tcW w:w="1805" w:type="dxa"/>
          </w:tcPr>
          <w:p w14:paraId="5A4FDE31"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e</w:t>
            </w:r>
          </w:p>
        </w:tc>
        <w:tc>
          <w:tcPr>
            <w:tcW w:w="1805" w:type="dxa"/>
            <w:gridSpan w:val="2"/>
          </w:tcPr>
          <w:p w14:paraId="450BE547"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F</w:t>
            </w:r>
          </w:p>
        </w:tc>
        <w:tc>
          <w:tcPr>
            <w:tcW w:w="1041" w:type="dxa"/>
          </w:tcPr>
          <w:p w14:paraId="7467A8B6" w14:textId="542DFE75" w:rsidR="00D41C60" w:rsidRPr="008E17C8" w:rsidRDefault="0086358C" w:rsidP="00B06E6D">
            <w:pPr>
              <w:jc w:val="center"/>
              <w:rPr>
                <w:rFonts w:ascii="Times New Roman" w:hAnsi="Times New Roman" w:cs="Times New Roman"/>
                <w:sz w:val="18"/>
                <w:szCs w:val="20"/>
              </w:rPr>
            </w:pPr>
            <w:r w:rsidRPr="008E17C8">
              <w:rPr>
                <w:rFonts w:ascii="Times New Roman" w:hAnsi="Times New Roman" w:cs="Times New Roman"/>
                <w:sz w:val="18"/>
                <w:szCs w:val="20"/>
              </w:rPr>
              <w:t>G</w:t>
            </w:r>
          </w:p>
        </w:tc>
        <w:tc>
          <w:tcPr>
            <w:tcW w:w="2185" w:type="dxa"/>
          </w:tcPr>
          <w:p w14:paraId="47C038BD"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h</w:t>
            </w:r>
          </w:p>
        </w:tc>
      </w:tr>
      <w:tr w:rsidR="00B06E6D" w:rsidRPr="008E17C8" w14:paraId="46E564AD" w14:textId="77777777" w:rsidTr="00B06E6D">
        <w:tc>
          <w:tcPr>
            <w:tcW w:w="1999" w:type="dxa"/>
            <w:gridSpan w:val="2"/>
            <w:vMerge w:val="restart"/>
          </w:tcPr>
          <w:p w14:paraId="1F9E549E" w14:textId="77777777" w:rsidR="00D41C60" w:rsidRPr="008E17C8" w:rsidRDefault="00D41C60" w:rsidP="00B06E6D">
            <w:pPr>
              <w:jc w:val="both"/>
              <w:rPr>
                <w:rFonts w:ascii="Times New Roman" w:hAnsi="Times New Roman" w:cs="Times New Roman"/>
                <w:sz w:val="18"/>
                <w:szCs w:val="20"/>
              </w:rPr>
            </w:pPr>
          </w:p>
        </w:tc>
        <w:tc>
          <w:tcPr>
            <w:tcW w:w="5180" w:type="dxa"/>
            <w:gridSpan w:val="4"/>
          </w:tcPr>
          <w:p w14:paraId="182102B3"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 xml:space="preserve">Wartość bilansowa brutto </w:t>
            </w:r>
            <w:r w:rsidRPr="008E17C8">
              <w:rPr>
                <w:rFonts w:ascii="Times New Roman" w:hAnsi="Times New Roman" w:cs="Times New Roman"/>
                <w:i/>
                <w:color w:val="00B050"/>
                <w:sz w:val="18"/>
                <w:szCs w:val="20"/>
              </w:rPr>
              <w:t xml:space="preserve">(w przypadku ekspozycji w bilansie) </w:t>
            </w:r>
            <w:r w:rsidRPr="008E17C8">
              <w:rPr>
                <w:rFonts w:ascii="Times New Roman" w:hAnsi="Times New Roman" w:cs="Times New Roman"/>
                <w:sz w:val="18"/>
                <w:szCs w:val="20"/>
              </w:rPr>
              <w:t xml:space="preserve">/kwota nominalna ekspozycji </w:t>
            </w:r>
            <w:r w:rsidRPr="008E17C8">
              <w:rPr>
                <w:rFonts w:ascii="Times New Roman" w:hAnsi="Times New Roman" w:cs="Times New Roman"/>
                <w:i/>
                <w:color w:val="00B050"/>
                <w:sz w:val="18"/>
                <w:szCs w:val="20"/>
              </w:rPr>
              <w:t>(w przypadku ekspozycji pozabilansowych)</w:t>
            </w:r>
          </w:p>
        </w:tc>
        <w:tc>
          <w:tcPr>
            <w:tcW w:w="3629" w:type="dxa"/>
            <w:gridSpan w:val="3"/>
          </w:tcPr>
          <w:p w14:paraId="45714393"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Skumulowana utrata wartości, skumulowane ujemne zmiany wartości godziwej z tytułu ryzyka kredytowego i rezerw</w:t>
            </w:r>
          </w:p>
        </w:tc>
        <w:tc>
          <w:tcPr>
            <w:tcW w:w="3226" w:type="dxa"/>
            <w:gridSpan w:val="2"/>
          </w:tcPr>
          <w:p w14:paraId="253A413C"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 xml:space="preserve">Zabezpieczenia rzeczowe lub gwarancje finansowe otrzymane </w:t>
            </w:r>
          </w:p>
        </w:tc>
      </w:tr>
      <w:tr w:rsidR="00B06E6D" w:rsidRPr="008E17C8" w14:paraId="116BBDC3" w14:textId="77777777" w:rsidTr="00B06E6D">
        <w:tc>
          <w:tcPr>
            <w:tcW w:w="1999" w:type="dxa"/>
            <w:gridSpan w:val="2"/>
            <w:vMerge/>
          </w:tcPr>
          <w:p w14:paraId="69541E6E" w14:textId="77777777" w:rsidR="00D41C60" w:rsidRPr="008E17C8" w:rsidRDefault="00D41C60" w:rsidP="00B06E6D">
            <w:pPr>
              <w:jc w:val="both"/>
              <w:rPr>
                <w:rFonts w:ascii="Times New Roman" w:hAnsi="Times New Roman" w:cs="Times New Roman"/>
                <w:sz w:val="18"/>
                <w:szCs w:val="20"/>
              </w:rPr>
            </w:pPr>
          </w:p>
        </w:tc>
        <w:tc>
          <w:tcPr>
            <w:tcW w:w="1556" w:type="dxa"/>
            <w:vMerge w:val="restart"/>
          </w:tcPr>
          <w:p w14:paraId="5B205D24"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Obsługiwane ekspozycje restrukturyzowane</w:t>
            </w:r>
          </w:p>
        </w:tc>
        <w:tc>
          <w:tcPr>
            <w:tcW w:w="3616" w:type="dxa"/>
            <w:gridSpan w:val="3"/>
          </w:tcPr>
          <w:p w14:paraId="03A21F99"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Nieobsługiwane ekspozycje restrukturyzowane</w:t>
            </w:r>
          </w:p>
        </w:tc>
        <w:tc>
          <w:tcPr>
            <w:tcW w:w="1901" w:type="dxa"/>
            <w:gridSpan w:val="2"/>
            <w:vMerge w:val="restart"/>
          </w:tcPr>
          <w:p w14:paraId="7DA2EB2C"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Obsługiwanych ekspozycji restrukturyzowanych</w:t>
            </w:r>
          </w:p>
        </w:tc>
        <w:tc>
          <w:tcPr>
            <w:tcW w:w="1736" w:type="dxa"/>
            <w:vMerge w:val="restart"/>
          </w:tcPr>
          <w:p w14:paraId="6E24F8D5"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Nieobsługiwanych ekspozycji restrukturyzowanych</w:t>
            </w:r>
          </w:p>
        </w:tc>
        <w:tc>
          <w:tcPr>
            <w:tcW w:w="1041" w:type="dxa"/>
            <w:vMerge w:val="restart"/>
          </w:tcPr>
          <w:p w14:paraId="1B6AFB57" w14:textId="77777777" w:rsidR="00D41C60" w:rsidRPr="008E17C8" w:rsidRDefault="00D41C60" w:rsidP="00B06E6D">
            <w:pPr>
              <w:jc w:val="center"/>
              <w:rPr>
                <w:rFonts w:ascii="Times New Roman" w:hAnsi="Times New Roman" w:cs="Times New Roman"/>
                <w:sz w:val="18"/>
                <w:szCs w:val="20"/>
              </w:rPr>
            </w:pPr>
          </w:p>
        </w:tc>
        <w:tc>
          <w:tcPr>
            <w:tcW w:w="2185" w:type="dxa"/>
            <w:vMerge w:val="restart"/>
          </w:tcPr>
          <w:p w14:paraId="72390B19"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W tym zabezpieczenie i gwarancje finansowe otrzymane z powodu nieobsługiwanych ekspozycji, wobec których zastosowano środki restrukturyzacyjne</w:t>
            </w:r>
          </w:p>
        </w:tc>
      </w:tr>
      <w:tr w:rsidR="00B06E6D" w:rsidRPr="008E17C8" w14:paraId="70984CBC" w14:textId="77777777" w:rsidTr="00B06E6D">
        <w:tc>
          <w:tcPr>
            <w:tcW w:w="1999" w:type="dxa"/>
            <w:gridSpan w:val="2"/>
            <w:vMerge/>
          </w:tcPr>
          <w:p w14:paraId="6D5BA918" w14:textId="77777777" w:rsidR="00D41C60" w:rsidRPr="008E17C8" w:rsidRDefault="00D41C60" w:rsidP="00B06E6D">
            <w:pPr>
              <w:jc w:val="both"/>
              <w:rPr>
                <w:rFonts w:ascii="Times New Roman" w:hAnsi="Times New Roman" w:cs="Times New Roman"/>
                <w:sz w:val="20"/>
                <w:szCs w:val="20"/>
              </w:rPr>
            </w:pPr>
          </w:p>
        </w:tc>
        <w:tc>
          <w:tcPr>
            <w:tcW w:w="1556" w:type="dxa"/>
            <w:vMerge/>
          </w:tcPr>
          <w:p w14:paraId="7072F3F4" w14:textId="77777777" w:rsidR="00D41C60" w:rsidRPr="008E17C8" w:rsidRDefault="00D41C60" w:rsidP="00B06E6D">
            <w:pPr>
              <w:jc w:val="both"/>
              <w:rPr>
                <w:rFonts w:ascii="Times New Roman" w:hAnsi="Times New Roman" w:cs="Times New Roman"/>
                <w:sz w:val="20"/>
                <w:szCs w:val="20"/>
              </w:rPr>
            </w:pPr>
          </w:p>
        </w:tc>
        <w:tc>
          <w:tcPr>
            <w:tcW w:w="986" w:type="dxa"/>
          </w:tcPr>
          <w:p w14:paraId="0505C9C3" w14:textId="77777777" w:rsidR="00D41C60" w:rsidRPr="008E17C8" w:rsidRDefault="00D41C60" w:rsidP="00B06E6D">
            <w:pPr>
              <w:jc w:val="center"/>
              <w:rPr>
                <w:rFonts w:ascii="Times New Roman" w:hAnsi="Times New Roman" w:cs="Times New Roman"/>
                <w:sz w:val="20"/>
                <w:szCs w:val="20"/>
              </w:rPr>
            </w:pPr>
          </w:p>
        </w:tc>
        <w:tc>
          <w:tcPr>
            <w:tcW w:w="1444" w:type="dxa"/>
          </w:tcPr>
          <w:p w14:paraId="4A19E387"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W tym ekspozycje, których dotyczy niewykonanie zobowiązania</w:t>
            </w:r>
          </w:p>
        </w:tc>
        <w:tc>
          <w:tcPr>
            <w:tcW w:w="1186" w:type="dxa"/>
          </w:tcPr>
          <w:p w14:paraId="5E3A99E4"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W tym ekspozycje dotknięte utratą wartości</w:t>
            </w:r>
          </w:p>
        </w:tc>
        <w:tc>
          <w:tcPr>
            <w:tcW w:w="1901" w:type="dxa"/>
            <w:gridSpan w:val="2"/>
            <w:vMerge/>
          </w:tcPr>
          <w:p w14:paraId="092EB698" w14:textId="77777777" w:rsidR="00D41C60" w:rsidRPr="008E17C8" w:rsidRDefault="00D41C60" w:rsidP="00B06E6D">
            <w:pPr>
              <w:jc w:val="both"/>
              <w:rPr>
                <w:rFonts w:ascii="Times New Roman" w:hAnsi="Times New Roman" w:cs="Times New Roman"/>
                <w:sz w:val="20"/>
                <w:szCs w:val="20"/>
              </w:rPr>
            </w:pPr>
          </w:p>
        </w:tc>
        <w:tc>
          <w:tcPr>
            <w:tcW w:w="1736" w:type="dxa"/>
            <w:vMerge/>
          </w:tcPr>
          <w:p w14:paraId="601F94DF" w14:textId="77777777" w:rsidR="00D41C60" w:rsidRPr="008E17C8" w:rsidRDefault="00D41C60" w:rsidP="00B06E6D">
            <w:pPr>
              <w:jc w:val="both"/>
              <w:rPr>
                <w:rFonts w:ascii="Times New Roman" w:hAnsi="Times New Roman" w:cs="Times New Roman"/>
                <w:sz w:val="20"/>
                <w:szCs w:val="20"/>
              </w:rPr>
            </w:pPr>
          </w:p>
        </w:tc>
        <w:tc>
          <w:tcPr>
            <w:tcW w:w="1041" w:type="dxa"/>
            <w:vMerge/>
          </w:tcPr>
          <w:p w14:paraId="369F1CEF" w14:textId="77777777" w:rsidR="00D41C60" w:rsidRPr="008E17C8" w:rsidRDefault="00D41C60" w:rsidP="00B06E6D">
            <w:pPr>
              <w:jc w:val="both"/>
              <w:rPr>
                <w:rFonts w:ascii="Times New Roman" w:hAnsi="Times New Roman" w:cs="Times New Roman"/>
                <w:sz w:val="20"/>
                <w:szCs w:val="20"/>
              </w:rPr>
            </w:pPr>
          </w:p>
        </w:tc>
        <w:tc>
          <w:tcPr>
            <w:tcW w:w="2185" w:type="dxa"/>
            <w:vMerge/>
          </w:tcPr>
          <w:p w14:paraId="1125C236" w14:textId="77777777" w:rsidR="00D41C60" w:rsidRPr="008E17C8" w:rsidRDefault="00D41C60" w:rsidP="00B06E6D">
            <w:pPr>
              <w:jc w:val="both"/>
              <w:rPr>
                <w:rFonts w:ascii="Times New Roman" w:hAnsi="Times New Roman" w:cs="Times New Roman"/>
                <w:sz w:val="20"/>
                <w:szCs w:val="20"/>
              </w:rPr>
            </w:pPr>
          </w:p>
        </w:tc>
      </w:tr>
      <w:tr w:rsidR="00B06E6D" w:rsidRPr="008E17C8" w14:paraId="2FDC9EAA" w14:textId="77777777" w:rsidTr="00B06E6D">
        <w:tc>
          <w:tcPr>
            <w:tcW w:w="416" w:type="dxa"/>
            <w:vAlign w:val="center"/>
          </w:tcPr>
          <w:p w14:paraId="1DC4AE34" w14:textId="77777777" w:rsidR="00D41C60" w:rsidRPr="008E17C8" w:rsidRDefault="00D41C60" w:rsidP="00B06E6D">
            <w:pPr>
              <w:jc w:val="center"/>
              <w:rPr>
                <w:rFonts w:ascii="Times New Roman" w:hAnsi="Times New Roman" w:cs="Times New Roman"/>
                <w:sz w:val="20"/>
                <w:szCs w:val="20"/>
              </w:rPr>
            </w:pPr>
            <w:r w:rsidRPr="008E17C8">
              <w:rPr>
                <w:rFonts w:ascii="Times New Roman" w:hAnsi="Times New Roman" w:cs="Times New Roman"/>
                <w:sz w:val="20"/>
                <w:szCs w:val="20"/>
              </w:rPr>
              <w:t>1</w:t>
            </w:r>
          </w:p>
        </w:tc>
        <w:tc>
          <w:tcPr>
            <w:tcW w:w="1583" w:type="dxa"/>
          </w:tcPr>
          <w:p w14:paraId="1D5BB591" w14:textId="77777777" w:rsidR="00D41C60" w:rsidRPr="008E17C8" w:rsidRDefault="00D41C60" w:rsidP="00D41C60">
            <w:pPr>
              <w:rPr>
                <w:rFonts w:ascii="Times New Roman" w:hAnsi="Times New Roman" w:cs="Times New Roman"/>
                <w:sz w:val="20"/>
                <w:szCs w:val="20"/>
              </w:rPr>
            </w:pPr>
            <w:r w:rsidRPr="008E17C8">
              <w:rPr>
                <w:rFonts w:ascii="Times New Roman" w:hAnsi="Times New Roman" w:cs="Times New Roman"/>
                <w:sz w:val="20"/>
                <w:szCs w:val="20"/>
              </w:rPr>
              <w:t>Kredyty i zaliczki</w:t>
            </w:r>
          </w:p>
        </w:tc>
        <w:tc>
          <w:tcPr>
            <w:tcW w:w="1556" w:type="dxa"/>
          </w:tcPr>
          <w:p w14:paraId="625149C0" w14:textId="77777777" w:rsidR="00D41C60" w:rsidRPr="008E17C8" w:rsidRDefault="00D41C60" w:rsidP="00B06E6D">
            <w:pPr>
              <w:jc w:val="both"/>
              <w:rPr>
                <w:rFonts w:ascii="Times New Roman" w:hAnsi="Times New Roman" w:cs="Times New Roman"/>
                <w:sz w:val="20"/>
                <w:szCs w:val="20"/>
              </w:rPr>
            </w:pPr>
          </w:p>
        </w:tc>
        <w:tc>
          <w:tcPr>
            <w:tcW w:w="986" w:type="dxa"/>
          </w:tcPr>
          <w:p w14:paraId="63872EED" w14:textId="77777777" w:rsidR="00D41C60" w:rsidRPr="008E17C8" w:rsidRDefault="00D41C60" w:rsidP="00B06E6D">
            <w:pPr>
              <w:jc w:val="both"/>
              <w:rPr>
                <w:rFonts w:ascii="Times New Roman" w:hAnsi="Times New Roman" w:cs="Times New Roman"/>
                <w:sz w:val="20"/>
                <w:szCs w:val="20"/>
              </w:rPr>
            </w:pPr>
          </w:p>
        </w:tc>
        <w:tc>
          <w:tcPr>
            <w:tcW w:w="1444" w:type="dxa"/>
            <w:shd w:val="clear" w:color="auto" w:fill="A6A6A6"/>
          </w:tcPr>
          <w:p w14:paraId="542034AE" w14:textId="77777777" w:rsidR="00D41C60" w:rsidRPr="008E17C8" w:rsidRDefault="00D41C60" w:rsidP="00B06E6D">
            <w:pPr>
              <w:jc w:val="both"/>
              <w:rPr>
                <w:rFonts w:ascii="Times New Roman" w:hAnsi="Times New Roman" w:cs="Times New Roman"/>
                <w:sz w:val="20"/>
                <w:szCs w:val="20"/>
              </w:rPr>
            </w:pPr>
          </w:p>
        </w:tc>
        <w:tc>
          <w:tcPr>
            <w:tcW w:w="1186" w:type="dxa"/>
          </w:tcPr>
          <w:p w14:paraId="7291D757" w14:textId="77777777" w:rsidR="00D41C60" w:rsidRPr="008E17C8" w:rsidRDefault="00D41C60" w:rsidP="00B06E6D">
            <w:pPr>
              <w:jc w:val="both"/>
              <w:rPr>
                <w:rFonts w:ascii="Times New Roman" w:hAnsi="Times New Roman" w:cs="Times New Roman"/>
                <w:sz w:val="20"/>
                <w:szCs w:val="20"/>
              </w:rPr>
            </w:pPr>
          </w:p>
        </w:tc>
        <w:tc>
          <w:tcPr>
            <w:tcW w:w="1901" w:type="dxa"/>
            <w:gridSpan w:val="2"/>
          </w:tcPr>
          <w:p w14:paraId="5FFF2688" w14:textId="77777777" w:rsidR="00D41C60" w:rsidRPr="008E17C8" w:rsidRDefault="00D41C60" w:rsidP="00B06E6D">
            <w:pPr>
              <w:jc w:val="both"/>
              <w:rPr>
                <w:rFonts w:ascii="Times New Roman" w:hAnsi="Times New Roman" w:cs="Times New Roman"/>
                <w:sz w:val="20"/>
                <w:szCs w:val="20"/>
              </w:rPr>
            </w:pPr>
          </w:p>
        </w:tc>
        <w:tc>
          <w:tcPr>
            <w:tcW w:w="1736" w:type="dxa"/>
          </w:tcPr>
          <w:p w14:paraId="5A76080C" w14:textId="77777777" w:rsidR="00D41C60" w:rsidRPr="008E17C8" w:rsidRDefault="00D41C60" w:rsidP="00B06E6D">
            <w:pPr>
              <w:jc w:val="both"/>
              <w:rPr>
                <w:rFonts w:ascii="Times New Roman" w:hAnsi="Times New Roman" w:cs="Times New Roman"/>
                <w:sz w:val="20"/>
                <w:szCs w:val="20"/>
              </w:rPr>
            </w:pPr>
          </w:p>
        </w:tc>
        <w:tc>
          <w:tcPr>
            <w:tcW w:w="1041" w:type="dxa"/>
          </w:tcPr>
          <w:p w14:paraId="7D1F89A0" w14:textId="77777777" w:rsidR="00D41C60" w:rsidRPr="008E17C8" w:rsidRDefault="00D41C60" w:rsidP="00B06E6D">
            <w:pPr>
              <w:jc w:val="both"/>
              <w:rPr>
                <w:rFonts w:ascii="Times New Roman" w:hAnsi="Times New Roman" w:cs="Times New Roman"/>
                <w:sz w:val="20"/>
                <w:szCs w:val="20"/>
              </w:rPr>
            </w:pPr>
          </w:p>
        </w:tc>
        <w:tc>
          <w:tcPr>
            <w:tcW w:w="2185" w:type="dxa"/>
            <w:shd w:val="clear" w:color="auto" w:fill="A6A6A6"/>
          </w:tcPr>
          <w:p w14:paraId="3DEFB417" w14:textId="77777777" w:rsidR="00D41C60" w:rsidRPr="008E17C8" w:rsidRDefault="00D41C60" w:rsidP="00B06E6D">
            <w:pPr>
              <w:jc w:val="both"/>
              <w:rPr>
                <w:rFonts w:ascii="Times New Roman" w:hAnsi="Times New Roman" w:cs="Times New Roman"/>
                <w:sz w:val="20"/>
                <w:szCs w:val="20"/>
              </w:rPr>
            </w:pPr>
          </w:p>
        </w:tc>
      </w:tr>
      <w:tr w:rsidR="00B06E6D" w:rsidRPr="008E17C8" w14:paraId="22CD662F" w14:textId="77777777" w:rsidTr="00B06E6D">
        <w:tc>
          <w:tcPr>
            <w:tcW w:w="416" w:type="dxa"/>
            <w:vAlign w:val="center"/>
          </w:tcPr>
          <w:p w14:paraId="3DBF9E19" w14:textId="77777777" w:rsidR="00D41C60" w:rsidRPr="008E17C8" w:rsidRDefault="00D41C60" w:rsidP="00B06E6D">
            <w:pPr>
              <w:jc w:val="center"/>
              <w:rPr>
                <w:rFonts w:ascii="Times New Roman" w:hAnsi="Times New Roman" w:cs="Times New Roman"/>
                <w:sz w:val="20"/>
                <w:szCs w:val="20"/>
              </w:rPr>
            </w:pPr>
            <w:r w:rsidRPr="008E17C8">
              <w:rPr>
                <w:rFonts w:ascii="Times New Roman" w:hAnsi="Times New Roman" w:cs="Times New Roman"/>
                <w:sz w:val="20"/>
                <w:szCs w:val="20"/>
              </w:rPr>
              <w:t>2</w:t>
            </w:r>
          </w:p>
        </w:tc>
        <w:tc>
          <w:tcPr>
            <w:tcW w:w="1583" w:type="dxa"/>
          </w:tcPr>
          <w:p w14:paraId="7B2103B7" w14:textId="77777777" w:rsidR="00D41C60" w:rsidRPr="008E17C8" w:rsidRDefault="00D41C60" w:rsidP="00D41C60">
            <w:pPr>
              <w:rPr>
                <w:rFonts w:ascii="Times New Roman" w:hAnsi="Times New Roman" w:cs="Times New Roman"/>
                <w:sz w:val="20"/>
                <w:szCs w:val="20"/>
              </w:rPr>
            </w:pPr>
            <w:r w:rsidRPr="008E17C8">
              <w:rPr>
                <w:rFonts w:ascii="Times New Roman" w:hAnsi="Times New Roman" w:cs="Times New Roman"/>
                <w:sz w:val="20"/>
                <w:szCs w:val="20"/>
              </w:rPr>
              <w:t>Banki centralne</w:t>
            </w:r>
          </w:p>
        </w:tc>
        <w:tc>
          <w:tcPr>
            <w:tcW w:w="1556" w:type="dxa"/>
          </w:tcPr>
          <w:p w14:paraId="3C986D21" w14:textId="77777777" w:rsidR="00D41C60" w:rsidRPr="008E17C8" w:rsidRDefault="00D41C60" w:rsidP="00B06E6D">
            <w:pPr>
              <w:jc w:val="both"/>
              <w:rPr>
                <w:rFonts w:ascii="Times New Roman" w:hAnsi="Times New Roman" w:cs="Times New Roman"/>
                <w:sz w:val="20"/>
                <w:szCs w:val="20"/>
              </w:rPr>
            </w:pPr>
          </w:p>
        </w:tc>
        <w:tc>
          <w:tcPr>
            <w:tcW w:w="986" w:type="dxa"/>
          </w:tcPr>
          <w:p w14:paraId="3E9F6953" w14:textId="77777777" w:rsidR="00D41C60" w:rsidRPr="008E17C8" w:rsidRDefault="00D41C60" w:rsidP="00B06E6D">
            <w:pPr>
              <w:jc w:val="both"/>
              <w:rPr>
                <w:rFonts w:ascii="Times New Roman" w:hAnsi="Times New Roman" w:cs="Times New Roman"/>
                <w:sz w:val="20"/>
                <w:szCs w:val="20"/>
              </w:rPr>
            </w:pPr>
          </w:p>
        </w:tc>
        <w:tc>
          <w:tcPr>
            <w:tcW w:w="1444" w:type="dxa"/>
            <w:shd w:val="clear" w:color="auto" w:fill="A6A6A6"/>
          </w:tcPr>
          <w:p w14:paraId="049862EF" w14:textId="77777777" w:rsidR="00D41C60" w:rsidRPr="008E17C8" w:rsidRDefault="00D41C60" w:rsidP="00B06E6D">
            <w:pPr>
              <w:jc w:val="both"/>
              <w:rPr>
                <w:rFonts w:ascii="Times New Roman" w:hAnsi="Times New Roman" w:cs="Times New Roman"/>
                <w:sz w:val="20"/>
                <w:szCs w:val="20"/>
              </w:rPr>
            </w:pPr>
          </w:p>
        </w:tc>
        <w:tc>
          <w:tcPr>
            <w:tcW w:w="1186" w:type="dxa"/>
          </w:tcPr>
          <w:p w14:paraId="65180CC4" w14:textId="77777777" w:rsidR="00D41C60" w:rsidRPr="008E17C8" w:rsidRDefault="00D41C60" w:rsidP="00B06E6D">
            <w:pPr>
              <w:jc w:val="both"/>
              <w:rPr>
                <w:rFonts w:ascii="Times New Roman" w:hAnsi="Times New Roman" w:cs="Times New Roman"/>
                <w:sz w:val="20"/>
                <w:szCs w:val="20"/>
              </w:rPr>
            </w:pPr>
          </w:p>
        </w:tc>
        <w:tc>
          <w:tcPr>
            <w:tcW w:w="1901" w:type="dxa"/>
            <w:gridSpan w:val="2"/>
          </w:tcPr>
          <w:p w14:paraId="66AE9FE8" w14:textId="77777777" w:rsidR="00D41C60" w:rsidRPr="008E17C8" w:rsidRDefault="00D41C60" w:rsidP="00B06E6D">
            <w:pPr>
              <w:jc w:val="both"/>
              <w:rPr>
                <w:rFonts w:ascii="Times New Roman" w:hAnsi="Times New Roman" w:cs="Times New Roman"/>
                <w:sz w:val="20"/>
                <w:szCs w:val="20"/>
              </w:rPr>
            </w:pPr>
          </w:p>
        </w:tc>
        <w:tc>
          <w:tcPr>
            <w:tcW w:w="1736" w:type="dxa"/>
          </w:tcPr>
          <w:p w14:paraId="543965EA" w14:textId="77777777" w:rsidR="00D41C60" w:rsidRPr="008E17C8" w:rsidRDefault="00D41C60" w:rsidP="00B06E6D">
            <w:pPr>
              <w:jc w:val="both"/>
              <w:rPr>
                <w:rFonts w:ascii="Times New Roman" w:hAnsi="Times New Roman" w:cs="Times New Roman"/>
                <w:sz w:val="20"/>
                <w:szCs w:val="20"/>
              </w:rPr>
            </w:pPr>
          </w:p>
        </w:tc>
        <w:tc>
          <w:tcPr>
            <w:tcW w:w="1041" w:type="dxa"/>
          </w:tcPr>
          <w:p w14:paraId="3907ABA8" w14:textId="77777777" w:rsidR="00D41C60" w:rsidRPr="008E17C8" w:rsidRDefault="00D41C60" w:rsidP="00B06E6D">
            <w:pPr>
              <w:jc w:val="both"/>
              <w:rPr>
                <w:rFonts w:ascii="Times New Roman" w:hAnsi="Times New Roman" w:cs="Times New Roman"/>
                <w:sz w:val="20"/>
                <w:szCs w:val="20"/>
              </w:rPr>
            </w:pPr>
          </w:p>
        </w:tc>
        <w:tc>
          <w:tcPr>
            <w:tcW w:w="2185" w:type="dxa"/>
            <w:shd w:val="clear" w:color="auto" w:fill="A6A6A6"/>
          </w:tcPr>
          <w:p w14:paraId="76512A37" w14:textId="77777777" w:rsidR="00D41C60" w:rsidRPr="008E17C8" w:rsidRDefault="00D41C60" w:rsidP="00B06E6D">
            <w:pPr>
              <w:jc w:val="both"/>
              <w:rPr>
                <w:rFonts w:ascii="Times New Roman" w:hAnsi="Times New Roman" w:cs="Times New Roman"/>
                <w:sz w:val="20"/>
                <w:szCs w:val="20"/>
              </w:rPr>
            </w:pPr>
          </w:p>
        </w:tc>
      </w:tr>
      <w:tr w:rsidR="00B06E6D" w:rsidRPr="008E17C8" w14:paraId="0CBD0EC9" w14:textId="77777777" w:rsidTr="00B06E6D">
        <w:tc>
          <w:tcPr>
            <w:tcW w:w="416" w:type="dxa"/>
            <w:vAlign w:val="center"/>
          </w:tcPr>
          <w:p w14:paraId="3CD5E99F" w14:textId="77777777" w:rsidR="00D41C60" w:rsidRPr="008E17C8" w:rsidRDefault="00D41C60" w:rsidP="00B06E6D">
            <w:pPr>
              <w:jc w:val="center"/>
              <w:rPr>
                <w:rFonts w:ascii="Times New Roman" w:hAnsi="Times New Roman" w:cs="Times New Roman"/>
                <w:sz w:val="20"/>
                <w:szCs w:val="20"/>
              </w:rPr>
            </w:pPr>
            <w:r w:rsidRPr="008E17C8">
              <w:rPr>
                <w:rFonts w:ascii="Times New Roman" w:hAnsi="Times New Roman" w:cs="Times New Roman"/>
                <w:sz w:val="20"/>
                <w:szCs w:val="20"/>
              </w:rPr>
              <w:t>3</w:t>
            </w:r>
          </w:p>
        </w:tc>
        <w:tc>
          <w:tcPr>
            <w:tcW w:w="1583" w:type="dxa"/>
          </w:tcPr>
          <w:p w14:paraId="75705CB7" w14:textId="77777777" w:rsidR="00D41C60" w:rsidRPr="008E17C8" w:rsidRDefault="00D41C60" w:rsidP="00D41C60">
            <w:pPr>
              <w:rPr>
                <w:rFonts w:ascii="Times New Roman" w:hAnsi="Times New Roman" w:cs="Times New Roman"/>
                <w:sz w:val="20"/>
                <w:szCs w:val="20"/>
              </w:rPr>
            </w:pPr>
            <w:r w:rsidRPr="008E17C8">
              <w:rPr>
                <w:rFonts w:ascii="Times New Roman" w:hAnsi="Times New Roman" w:cs="Times New Roman"/>
                <w:sz w:val="20"/>
                <w:szCs w:val="20"/>
              </w:rPr>
              <w:t>Instytucje rządowe</w:t>
            </w:r>
          </w:p>
        </w:tc>
        <w:tc>
          <w:tcPr>
            <w:tcW w:w="1556" w:type="dxa"/>
          </w:tcPr>
          <w:p w14:paraId="72A1BE28" w14:textId="77777777" w:rsidR="00D41C60" w:rsidRPr="008E17C8" w:rsidRDefault="00D41C60" w:rsidP="00B06E6D">
            <w:pPr>
              <w:jc w:val="both"/>
              <w:rPr>
                <w:rFonts w:ascii="Times New Roman" w:hAnsi="Times New Roman" w:cs="Times New Roman"/>
                <w:sz w:val="20"/>
                <w:szCs w:val="20"/>
              </w:rPr>
            </w:pPr>
          </w:p>
        </w:tc>
        <w:tc>
          <w:tcPr>
            <w:tcW w:w="986" w:type="dxa"/>
          </w:tcPr>
          <w:p w14:paraId="4208F11A" w14:textId="77777777" w:rsidR="00D41C60" w:rsidRPr="008E17C8" w:rsidRDefault="00D41C60" w:rsidP="00B06E6D">
            <w:pPr>
              <w:jc w:val="both"/>
              <w:rPr>
                <w:rFonts w:ascii="Times New Roman" w:hAnsi="Times New Roman" w:cs="Times New Roman"/>
                <w:sz w:val="20"/>
                <w:szCs w:val="20"/>
              </w:rPr>
            </w:pPr>
          </w:p>
        </w:tc>
        <w:tc>
          <w:tcPr>
            <w:tcW w:w="1444" w:type="dxa"/>
            <w:shd w:val="clear" w:color="auto" w:fill="A6A6A6"/>
          </w:tcPr>
          <w:p w14:paraId="6C1653ED" w14:textId="77777777" w:rsidR="00D41C60" w:rsidRPr="008E17C8" w:rsidRDefault="00D41C60" w:rsidP="00B06E6D">
            <w:pPr>
              <w:jc w:val="both"/>
              <w:rPr>
                <w:rFonts w:ascii="Times New Roman" w:hAnsi="Times New Roman" w:cs="Times New Roman"/>
                <w:sz w:val="20"/>
                <w:szCs w:val="20"/>
              </w:rPr>
            </w:pPr>
          </w:p>
        </w:tc>
        <w:tc>
          <w:tcPr>
            <w:tcW w:w="1186" w:type="dxa"/>
          </w:tcPr>
          <w:p w14:paraId="2F9E9100" w14:textId="77777777" w:rsidR="00D41C60" w:rsidRPr="008E17C8" w:rsidRDefault="00D41C60" w:rsidP="00B06E6D">
            <w:pPr>
              <w:jc w:val="both"/>
              <w:rPr>
                <w:rFonts w:ascii="Times New Roman" w:hAnsi="Times New Roman" w:cs="Times New Roman"/>
                <w:sz w:val="20"/>
                <w:szCs w:val="20"/>
              </w:rPr>
            </w:pPr>
          </w:p>
        </w:tc>
        <w:tc>
          <w:tcPr>
            <w:tcW w:w="1901" w:type="dxa"/>
            <w:gridSpan w:val="2"/>
          </w:tcPr>
          <w:p w14:paraId="712D8809" w14:textId="77777777" w:rsidR="00D41C60" w:rsidRPr="008E17C8" w:rsidRDefault="00D41C60" w:rsidP="00B06E6D">
            <w:pPr>
              <w:jc w:val="both"/>
              <w:rPr>
                <w:rFonts w:ascii="Times New Roman" w:hAnsi="Times New Roman" w:cs="Times New Roman"/>
                <w:sz w:val="20"/>
                <w:szCs w:val="20"/>
              </w:rPr>
            </w:pPr>
          </w:p>
        </w:tc>
        <w:tc>
          <w:tcPr>
            <w:tcW w:w="1736" w:type="dxa"/>
          </w:tcPr>
          <w:p w14:paraId="7AC8B5B4" w14:textId="77777777" w:rsidR="00D41C60" w:rsidRPr="008E17C8" w:rsidRDefault="00D41C60" w:rsidP="00B06E6D">
            <w:pPr>
              <w:jc w:val="both"/>
              <w:rPr>
                <w:rFonts w:ascii="Times New Roman" w:hAnsi="Times New Roman" w:cs="Times New Roman"/>
                <w:sz w:val="20"/>
                <w:szCs w:val="20"/>
              </w:rPr>
            </w:pPr>
          </w:p>
        </w:tc>
        <w:tc>
          <w:tcPr>
            <w:tcW w:w="1041" w:type="dxa"/>
          </w:tcPr>
          <w:p w14:paraId="00EFC516" w14:textId="77777777" w:rsidR="00D41C60" w:rsidRPr="008E17C8" w:rsidRDefault="00D41C60" w:rsidP="00B06E6D">
            <w:pPr>
              <w:jc w:val="both"/>
              <w:rPr>
                <w:rFonts w:ascii="Times New Roman" w:hAnsi="Times New Roman" w:cs="Times New Roman"/>
                <w:sz w:val="20"/>
                <w:szCs w:val="20"/>
              </w:rPr>
            </w:pPr>
          </w:p>
        </w:tc>
        <w:tc>
          <w:tcPr>
            <w:tcW w:w="2185" w:type="dxa"/>
            <w:shd w:val="clear" w:color="auto" w:fill="A6A6A6"/>
          </w:tcPr>
          <w:p w14:paraId="096898DD" w14:textId="77777777" w:rsidR="00D41C60" w:rsidRPr="008E17C8" w:rsidRDefault="00D41C60" w:rsidP="00B06E6D">
            <w:pPr>
              <w:jc w:val="both"/>
              <w:rPr>
                <w:rFonts w:ascii="Times New Roman" w:hAnsi="Times New Roman" w:cs="Times New Roman"/>
                <w:sz w:val="20"/>
                <w:szCs w:val="20"/>
              </w:rPr>
            </w:pPr>
          </w:p>
        </w:tc>
      </w:tr>
      <w:tr w:rsidR="00B06E6D" w:rsidRPr="008E17C8" w14:paraId="1013FC66" w14:textId="77777777" w:rsidTr="00B06E6D">
        <w:tc>
          <w:tcPr>
            <w:tcW w:w="416" w:type="dxa"/>
            <w:vAlign w:val="center"/>
          </w:tcPr>
          <w:p w14:paraId="4BECF259" w14:textId="77777777" w:rsidR="00D41C60" w:rsidRPr="008E17C8" w:rsidRDefault="00D41C60" w:rsidP="00B06E6D">
            <w:pPr>
              <w:jc w:val="center"/>
              <w:rPr>
                <w:rFonts w:ascii="Times New Roman" w:hAnsi="Times New Roman" w:cs="Times New Roman"/>
                <w:sz w:val="20"/>
                <w:szCs w:val="20"/>
              </w:rPr>
            </w:pPr>
            <w:r w:rsidRPr="008E17C8">
              <w:rPr>
                <w:rFonts w:ascii="Times New Roman" w:hAnsi="Times New Roman" w:cs="Times New Roman"/>
                <w:sz w:val="20"/>
                <w:szCs w:val="20"/>
              </w:rPr>
              <w:t>4</w:t>
            </w:r>
          </w:p>
        </w:tc>
        <w:tc>
          <w:tcPr>
            <w:tcW w:w="1583" w:type="dxa"/>
          </w:tcPr>
          <w:p w14:paraId="5C1A20CD" w14:textId="77777777" w:rsidR="00D41C60" w:rsidRPr="008E17C8" w:rsidRDefault="00D41C60" w:rsidP="00D41C60">
            <w:pPr>
              <w:rPr>
                <w:rFonts w:ascii="Times New Roman" w:hAnsi="Times New Roman" w:cs="Times New Roman"/>
                <w:sz w:val="20"/>
                <w:szCs w:val="20"/>
              </w:rPr>
            </w:pPr>
            <w:r w:rsidRPr="008E17C8">
              <w:rPr>
                <w:rFonts w:ascii="Times New Roman" w:hAnsi="Times New Roman" w:cs="Times New Roman"/>
                <w:sz w:val="20"/>
                <w:szCs w:val="20"/>
              </w:rPr>
              <w:t>Instytucje kredytowe</w:t>
            </w:r>
          </w:p>
        </w:tc>
        <w:tc>
          <w:tcPr>
            <w:tcW w:w="1556" w:type="dxa"/>
          </w:tcPr>
          <w:p w14:paraId="7169402C" w14:textId="77777777" w:rsidR="00D41C60" w:rsidRPr="008E17C8" w:rsidRDefault="00D41C60" w:rsidP="00B06E6D">
            <w:pPr>
              <w:jc w:val="both"/>
              <w:rPr>
                <w:rFonts w:ascii="Times New Roman" w:hAnsi="Times New Roman" w:cs="Times New Roman"/>
                <w:sz w:val="20"/>
                <w:szCs w:val="20"/>
              </w:rPr>
            </w:pPr>
          </w:p>
        </w:tc>
        <w:tc>
          <w:tcPr>
            <w:tcW w:w="986" w:type="dxa"/>
          </w:tcPr>
          <w:p w14:paraId="6DCFC0CE" w14:textId="77777777" w:rsidR="00D41C60" w:rsidRPr="008E17C8" w:rsidRDefault="00D41C60" w:rsidP="00B06E6D">
            <w:pPr>
              <w:jc w:val="both"/>
              <w:rPr>
                <w:rFonts w:ascii="Times New Roman" w:hAnsi="Times New Roman" w:cs="Times New Roman"/>
                <w:sz w:val="20"/>
                <w:szCs w:val="20"/>
              </w:rPr>
            </w:pPr>
          </w:p>
        </w:tc>
        <w:tc>
          <w:tcPr>
            <w:tcW w:w="1444" w:type="dxa"/>
            <w:shd w:val="clear" w:color="auto" w:fill="A6A6A6"/>
          </w:tcPr>
          <w:p w14:paraId="5624A388" w14:textId="77777777" w:rsidR="00D41C60" w:rsidRPr="008E17C8" w:rsidRDefault="00D41C60" w:rsidP="00B06E6D">
            <w:pPr>
              <w:jc w:val="both"/>
              <w:rPr>
                <w:rFonts w:ascii="Times New Roman" w:hAnsi="Times New Roman" w:cs="Times New Roman"/>
                <w:sz w:val="20"/>
                <w:szCs w:val="20"/>
              </w:rPr>
            </w:pPr>
          </w:p>
        </w:tc>
        <w:tc>
          <w:tcPr>
            <w:tcW w:w="1186" w:type="dxa"/>
          </w:tcPr>
          <w:p w14:paraId="56A28C9E" w14:textId="77777777" w:rsidR="00D41C60" w:rsidRPr="008E17C8" w:rsidRDefault="00D41C60" w:rsidP="00B06E6D">
            <w:pPr>
              <w:jc w:val="both"/>
              <w:rPr>
                <w:rFonts w:ascii="Times New Roman" w:hAnsi="Times New Roman" w:cs="Times New Roman"/>
                <w:sz w:val="20"/>
                <w:szCs w:val="20"/>
              </w:rPr>
            </w:pPr>
          </w:p>
        </w:tc>
        <w:tc>
          <w:tcPr>
            <w:tcW w:w="1901" w:type="dxa"/>
            <w:gridSpan w:val="2"/>
          </w:tcPr>
          <w:p w14:paraId="34F97F09" w14:textId="77777777" w:rsidR="00D41C60" w:rsidRPr="008E17C8" w:rsidRDefault="00D41C60" w:rsidP="00B06E6D">
            <w:pPr>
              <w:jc w:val="both"/>
              <w:rPr>
                <w:rFonts w:ascii="Times New Roman" w:hAnsi="Times New Roman" w:cs="Times New Roman"/>
                <w:sz w:val="20"/>
                <w:szCs w:val="20"/>
              </w:rPr>
            </w:pPr>
          </w:p>
        </w:tc>
        <w:tc>
          <w:tcPr>
            <w:tcW w:w="1736" w:type="dxa"/>
          </w:tcPr>
          <w:p w14:paraId="628B5CDA" w14:textId="77777777" w:rsidR="00D41C60" w:rsidRPr="008E17C8" w:rsidRDefault="00D41C60" w:rsidP="00B06E6D">
            <w:pPr>
              <w:jc w:val="both"/>
              <w:rPr>
                <w:rFonts w:ascii="Times New Roman" w:hAnsi="Times New Roman" w:cs="Times New Roman"/>
                <w:sz w:val="20"/>
                <w:szCs w:val="20"/>
              </w:rPr>
            </w:pPr>
          </w:p>
        </w:tc>
        <w:tc>
          <w:tcPr>
            <w:tcW w:w="1041" w:type="dxa"/>
          </w:tcPr>
          <w:p w14:paraId="1775F635" w14:textId="77777777" w:rsidR="00D41C60" w:rsidRPr="008E17C8" w:rsidRDefault="00D41C60" w:rsidP="00B06E6D">
            <w:pPr>
              <w:jc w:val="both"/>
              <w:rPr>
                <w:rFonts w:ascii="Times New Roman" w:hAnsi="Times New Roman" w:cs="Times New Roman"/>
                <w:sz w:val="20"/>
                <w:szCs w:val="20"/>
              </w:rPr>
            </w:pPr>
          </w:p>
        </w:tc>
        <w:tc>
          <w:tcPr>
            <w:tcW w:w="2185" w:type="dxa"/>
            <w:shd w:val="clear" w:color="auto" w:fill="A6A6A6"/>
          </w:tcPr>
          <w:p w14:paraId="23730F05" w14:textId="77777777" w:rsidR="00D41C60" w:rsidRPr="008E17C8" w:rsidRDefault="00D41C60" w:rsidP="00B06E6D">
            <w:pPr>
              <w:jc w:val="both"/>
              <w:rPr>
                <w:rFonts w:ascii="Times New Roman" w:hAnsi="Times New Roman" w:cs="Times New Roman"/>
                <w:sz w:val="20"/>
                <w:szCs w:val="20"/>
              </w:rPr>
            </w:pPr>
          </w:p>
        </w:tc>
      </w:tr>
      <w:tr w:rsidR="00B06E6D" w:rsidRPr="008E17C8" w14:paraId="2D68ECD2" w14:textId="77777777" w:rsidTr="00B06E6D">
        <w:tc>
          <w:tcPr>
            <w:tcW w:w="416" w:type="dxa"/>
            <w:vAlign w:val="center"/>
          </w:tcPr>
          <w:p w14:paraId="69C696C4" w14:textId="77777777" w:rsidR="00D41C60" w:rsidRPr="008E17C8" w:rsidRDefault="00D41C60" w:rsidP="00B06E6D">
            <w:pPr>
              <w:jc w:val="center"/>
              <w:rPr>
                <w:rFonts w:ascii="Times New Roman" w:hAnsi="Times New Roman" w:cs="Times New Roman"/>
                <w:sz w:val="20"/>
                <w:szCs w:val="20"/>
              </w:rPr>
            </w:pPr>
            <w:r w:rsidRPr="008E17C8">
              <w:rPr>
                <w:rFonts w:ascii="Times New Roman" w:hAnsi="Times New Roman" w:cs="Times New Roman"/>
                <w:sz w:val="20"/>
                <w:szCs w:val="20"/>
              </w:rPr>
              <w:t>5</w:t>
            </w:r>
          </w:p>
        </w:tc>
        <w:tc>
          <w:tcPr>
            <w:tcW w:w="1583" w:type="dxa"/>
          </w:tcPr>
          <w:p w14:paraId="0292C283" w14:textId="77777777" w:rsidR="00D41C60" w:rsidRPr="008E17C8" w:rsidRDefault="00D41C60" w:rsidP="00D41C60">
            <w:pPr>
              <w:rPr>
                <w:rFonts w:ascii="Times New Roman" w:hAnsi="Times New Roman" w:cs="Times New Roman"/>
                <w:sz w:val="20"/>
                <w:szCs w:val="20"/>
              </w:rPr>
            </w:pPr>
            <w:r w:rsidRPr="008E17C8">
              <w:rPr>
                <w:rFonts w:ascii="Times New Roman" w:hAnsi="Times New Roman" w:cs="Times New Roman"/>
                <w:sz w:val="20"/>
                <w:szCs w:val="20"/>
              </w:rPr>
              <w:t>Inne instytucje finansowe</w:t>
            </w:r>
          </w:p>
        </w:tc>
        <w:tc>
          <w:tcPr>
            <w:tcW w:w="1556" w:type="dxa"/>
          </w:tcPr>
          <w:p w14:paraId="533CBEE1" w14:textId="77777777" w:rsidR="00D41C60" w:rsidRPr="008E17C8" w:rsidRDefault="00D41C60" w:rsidP="00B06E6D">
            <w:pPr>
              <w:jc w:val="both"/>
              <w:rPr>
                <w:rFonts w:ascii="Times New Roman" w:hAnsi="Times New Roman" w:cs="Times New Roman"/>
                <w:sz w:val="20"/>
                <w:szCs w:val="20"/>
              </w:rPr>
            </w:pPr>
          </w:p>
        </w:tc>
        <w:tc>
          <w:tcPr>
            <w:tcW w:w="986" w:type="dxa"/>
          </w:tcPr>
          <w:p w14:paraId="5C73ACC8" w14:textId="77777777" w:rsidR="00D41C60" w:rsidRPr="008E17C8" w:rsidRDefault="00D41C60" w:rsidP="00B06E6D">
            <w:pPr>
              <w:jc w:val="both"/>
              <w:rPr>
                <w:rFonts w:ascii="Times New Roman" w:hAnsi="Times New Roman" w:cs="Times New Roman"/>
                <w:sz w:val="20"/>
                <w:szCs w:val="20"/>
              </w:rPr>
            </w:pPr>
          </w:p>
        </w:tc>
        <w:tc>
          <w:tcPr>
            <w:tcW w:w="1444" w:type="dxa"/>
            <w:shd w:val="clear" w:color="auto" w:fill="A6A6A6"/>
          </w:tcPr>
          <w:p w14:paraId="5CB86CD7" w14:textId="77777777" w:rsidR="00D41C60" w:rsidRPr="008E17C8" w:rsidRDefault="00D41C60" w:rsidP="00B06E6D">
            <w:pPr>
              <w:jc w:val="both"/>
              <w:rPr>
                <w:rFonts w:ascii="Times New Roman" w:hAnsi="Times New Roman" w:cs="Times New Roman"/>
                <w:sz w:val="20"/>
                <w:szCs w:val="20"/>
              </w:rPr>
            </w:pPr>
          </w:p>
        </w:tc>
        <w:tc>
          <w:tcPr>
            <w:tcW w:w="1186" w:type="dxa"/>
          </w:tcPr>
          <w:p w14:paraId="2A345B6F" w14:textId="77777777" w:rsidR="00D41C60" w:rsidRPr="008E17C8" w:rsidRDefault="00D41C60" w:rsidP="00B06E6D">
            <w:pPr>
              <w:jc w:val="both"/>
              <w:rPr>
                <w:rFonts w:ascii="Times New Roman" w:hAnsi="Times New Roman" w:cs="Times New Roman"/>
                <w:sz w:val="20"/>
                <w:szCs w:val="20"/>
              </w:rPr>
            </w:pPr>
          </w:p>
        </w:tc>
        <w:tc>
          <w:tcPr>
            <w:tcW w:w="1901" w:type="dxa"/>
            <w:gridSpan w:val="2"/>
          </w:tcPr>
          <w:p w14:paraId="35A4774F" w14:textId="77777777" w:rsidR="00D41C60" w:rsidRPr="008E17C8" w:rsidRDefault="00D41C60" w:rsidP="00B06E6D">
            <w:pPr>
              <w:jc w:val="both"/>
              <w:rPr>
                <w:rFonts w:ascii="Times New Roman" w:hAnsi="Times New Roman" w:cs="Times New Roman"/>
                <w:sz w:val="20"/>
                <w:szCs w:val="20"/>
              </w:rPr>
            </w:pPr>
          </w:p>
        </w:tc>
        <w:tc>
          <w:tcPr>
            <w:tcW w:w="1736" w:type="dxa"/>
          </w:tcPr>
          <w:p w14:paraId="0181DE35" w14:textId="77777777" w:rsidR="00D41C60" w:rsidRPr="008E17C8" w:rsidRDefault="00D41C60" w:rsidP="00B06E6D">
            <w:pPr>
              <w:jc w:val="both"/>
              <w:rPr>
                <w:rFonts w:ascii="Times New Roman" w:hAnsi="Times New Roman" w:cs="Times New Roman"/>
                <w:sz w:val="20"/>
                <w:szCs w:val="20"/>
              </w:rPr>
            </w:pPr>
          </w:p>
        </w:tc>
        <w:tc>
          <w:tcPr>
            <w:tcW w:w="1041" w:type="dxa"/>
          </w:tcPr>
          <w:p w14:paraId="6E3635D2" w14:textId="77777777" w:rsidR="00D41C60" w:rsidRPr="008E17C8" w:rsidRDefault="00D41C60" w:rsidP="00B06E6D">
            <w:pPr>
              <w:jc w:val="both"/>
              <w:rPr>
                <w:rFonts w:ascii="Times New Roman" w:hAnsi="Times New Roman" w:cs="Times New Roman"/>
                <w:sz w:val="20"/>
                <w:szCs w:val="20"/>
              </w:rPr>
            </w:pPr>
          </w:p>
        </w:tc>
        <w:tc>
          <w:tcPr>
            <w:tcW w:w="2185" w:type="dxa"/>
            <w:shd w:val="clear" w:color="auto" w:fill="A6A6A6"/>
          </w:tcPr>
          <w:p w14:paraId="30BBBDB1" w14:textId="77777777" w:rsidR="00D41C60" w:rsidRPr="008E17C8" w:rsidRDefault="00D41C60" w:rsidP="00B06E6D">
            <w:pPr>
              <w:jc w:val="both"/>
              <w:rPr>
                <w:rFonts w:ascii="Times New Roman" w:hAnsi="Times New Roman" w:cs="Times New Roman"/>
                <w:sz w:val="20"/>
                <w:szCs w:val="20"/>
              </w:rPr>
            </w:pPr>
          </w:p>
        </w:tc>
      </w:tr>
      <w:tr w:rsidR="00B06E6D" w:rsidRPr="008E17C8" w14:paraId="41D1AAED" w14:textId="77777777" w:rsidTr="00B06E6D">
        <w:tc>
          <w:tcPr>
            <w:tcW w:w="416" w:type="dxa"/>
            <w:vAlign w:val="center"/>
          </w:tcPr>
          <w:p w14:paraId="2D51ECA3" w14:textId="77777777" w:rsidR="00D41C60" w:rsidRPr="008E17C8" w:rsidRDefault="00D41C60" w:rsidP="00B06E6D">
            <w:pPr>
              <w:jc w:val="center"/>
              <w:rPr>
                <w:rFonts w:ascii="Times New Roman" w:hAnsi="Times New Roman" w:cs="Times New Roman"/>
                <w:sz w:val="20"/>
                <w:szCs w:val="20"/>
              </w:rPr>
            </w:pPr>
            <w:r w:rsidRPr="008E17C8">
              <w:rPr>
                <w:rFonts w:ascii="Times New Roman" w:hAnsi="Times New Roman" w:cs="Times New Roman"/>
                <w:sz w:val="20"/>
                <w:szCs w:val="20"/>
              </w:rPr>
              <w:t>6</w:t>
            </w:r>
          </w:p>
        </w:tc>
        <w:tc>
          <w:tcPr>
            <w:tcW w:w="1583" w:type="dxa"/>
          </w:tcPr>
          <w:p w14:paraId="3AEFF378" w14:textId="77777777" w:rsidR="00D41C60" w:rsidRPr="008E17C8" w:rsidRDefault="00D41C60" w:rsidP="00D41C60">
            <w:pPr>
              <w:rPr>
                <w:rFonts w:ascii="Times New Roman" w:hAnsi="Times New Roman" w:cs="Times New Roman"/>
                <w:sz w:val="20"/>
                <w:szCs w:val="20"/>
              </w:rPr>
            </w:pPr>
            <w:r w:rsidRPr="008E17C8">
              <w:rPr>
                <w:rFonts w:ascii="Times New Roman" w:hAnsi="Times New Roman" w:cs="Times New Roman"/>
                <w:sz w:val="20"/>
                <w:szCs w:val="20"/>
              </w:rPr>
              <w:t>Przedsiębiorstwa niefinansowe</w:t>
            </w:r>
          </w:p>
        </w:tc>
        <w:tc>
          <w:tcPr>
            <w:tcW w:w="1556" w:type="dxa"/>
          </w:tcPr>
          <w:p w14:paraId="225C1CA9" w14:textId="77777777" w:rsidR="00D41C60" w:rsidRPr="008E17C8" w:rsidRDefault="00D41C60" w:rsidP="00B06E6D">
            <w:pPr>
              <w:jc w:val="both"/>
              <w:rPr>
                <w:rFonts w:ascii="Times New Roman" w:hAnsi="Times New Roman" w:cs="Times New Roman"/>
                <w:sz w:val="20"/>
                <w:szCs w:val="20"/>
              </w:rPr>
            </w:pPr>
          </w:p>
        </w:tc>
        <w:tc>
          <w:tcPr>
            <w:tcW w:w="986" w:type="dxa"/>
          </w:tcPr>
          <w:p w14:paraId="42C43F9C" w14:textId="77777777" w:rsidR="00D41C60" w:rsidRPr="008E17C8" w:rsidRDefault="00D41C60" w:rsidP="00B06E6D">
            <w:pPr>
              <w:jc w:val="both"/>
              <w:rPr>
                <w:rFonts w:ascii="Times New Roman" w:hAnsi="Times New Roman" w:cs="Times New Roman"/>
                <w:sz w:val="20"/>
                <w:szCs w:val="20"/>
              </w:rPr>
            </w:pPr>
          </w:p>
        </w:tc>
        <w:tc>
          <w:tcPr>
            <w:tcW w:w="1444" w:type="dxa"/>
            <w:shd w:val="clear" w:color="auto" w:fill="A6A6A6"/>
          </w:tcPr>
          <w:p w14:paraId="7DC910B2" w14:textId="77777777" w:rsidR="00D41C60" w:rsidRPr="008E17C8" w:rsidRDefault="00D41C60" w:rsidP="00B06E6D">
            <w:pPr>
              <w:jc w:val="both"/>
              <w:rPr>
                <w:rFonts w:ascii="Times New Roman" w:hAnsi="Times New Roman" w:cs="Times New Roman"/>
                <w:sz w:val="20"/>
                <w:szCs w:val="20"/>
              </w:rPr>
            </w:pPr>
          </w:p>
        </w:tc>
        <w:tc>
          <w:tcPr>
            <w:tcW w:w="1186" w:type="dxa"/>
          </w:tcPr>
          <w:p w14:paraId="25927261" w14:textId="77777777" w:rsidR="00D41C60" w:rsidRPr="008E17C8" w:rsidRDefault="00D41C60" w:rsidP="00B06E6D">
            <w:pPr>
              <w:jc w:val="both"/>
              <w:rPr>
                <w:rFonts w:ascii="Times New Roman" w:hAnsi="Times New Roman" w:cs="Times New Roman"/>
                <w:sz w:val="20"/>
                <w:szCs w:val="20"/>
              </w:rPr>
            </w:pPr>
          </w:p>
        </w:tc>
        <w:tc>
          <w:tcPr>
            <w:tcW w:w="1901" w:type="dxa"/>
            <w:gridSpan w:val="2"/>
          </w:tcPr>
          <w:p w14:paraId="7E3AB47F" w14:textId="77777777" w:rsidR="00D41C60" w:rsidRPr="008E17C8" w:rsidRDefault="00D41C60" w:rsidP="00B06E6D">
            <w:pPr>
              <w:jc w:val="both"/>
              <w:rPr>
                <w:rFonts w:ascii="Times New Roman" w:hAnsi="Times New Roman" w:cs="Times New Roman"/>
                <w:sz w:val="20"/>
                <w:szCs w:val="20"/>
              </w:rPr>
            </w:pPr>
          </w:p>
        </w:tc>
        <w:tc>
          <w:tcPr>
            <w:tcW w:w="1736" w:type="dxa"/>
          </w:tcPr>
          <w:p w14:paraId="2D2B745C" w14:textId="77777777" w:rsidR="00D41C60" w:rsidRPr="008E17C8" w:rsidRDefault="00D41C60" w:rsidP="00B06E6D">
            <w:pPr>
              <w:jc w:val="both"/>
              <w:rPr>
                <w:rFonts w:ascii="Times New Roman" w:hAnsi="Times New Roman" w:cs="Times New Roman"/>
                <w:sz w:val="20"/>
                <w:szCs w:val="20"/>
              </w:rPr>
            </w:pPr>
          </w:p>
        </w:tc>
        <w:tc>
          <w:tcPr>
            <w:tcW w:w="1041" w:type="dxa"/>
          </w:tcPr>
          <w:p w14:paraId="771BA996" w14:textId="77777777" w:rsidR="00D41C60" w:rsidRPr="008E17C8" w:rsidRDefault="00D41C60" w:rsidP="00B06E6D">
            <w:pPr>
              <w:jc w:val="both"/>
              <w:rPr>
                <w:rFonts w:ascii="Times New Roman" w:hAnsi="Times New Roman" w:cs="Times New Roman"/>
                <w:sz w:val="20"/>
                <w:szCs w:val="20"/>
              </w:rPr>
            </w:pPr>
          </w:p>
        </w:tc>
        <w:tc>
          <w:tcPr>
            <w:tcW w:w="2185" w:type="dxa"/>
            <w:shd w:val="clear" w:color="auto" w:fill="A6A6A6"/>
          </w:tcPr>
          <w:p w14:paraId="7B45DA39" w14:textId="77777777" w:rsidR="00D41C60" w:rsidRPr="008E17C8" w:rsidRDefault="00D41C60" w:rsidP="00B06E6D">
            <w:pPr>
              <w:jc w:val="both"/>
              <w:rPr>
                <w:rFonts w:ascii="Times New Roman" w:hAnsi="Times New Roman" w:cs="Times New Roman"/>
                <w:sz w:val="20"/>
                <w:szCs w:val="20"/>
              </w:rPr>
            </w:pPr>
          </w:p>
        </w:tc>
      </w:tr>
      <w:tr w:rsidR="00B06E6D" w:rsidRPr="008E17C8" w14:paraId="4E09A8DF" w14:textId="77777777" w:rsidTr="00B06E6D">
        <w:tc>
          <w:tcPr>
            <w:tcW w:w="416" w:type="dxa"/>
            <w:vAlign w:val="center"/>
          </w:tcPr>
          <w:p w14:paraId="2397276E" w14:textId="77777777" w:rsidR="00D41C60" w:rsidRPr="008E17C8" w:rsidRDefault="00D41C60" w:rsidP="00B06E6D">
            <w:pPr>
              <w:jc w:val="center"/>
              <w:rPr>
                <w:rFonts w:ascii="Times New Roman" w:hAnsi="Times New Roman" w:cs="Times New Roman"/>
                <w:sz w:val="20"/>
                <w:szCs w:val="20"/>
              </w:rPr>
            </w:pPr>
            <w:r w:rsidRPr="008E17C8">
              <w:rPr>
                <w:rFonts w:ascii="Times New Roman" w:hAnsi="Times New Roman" w:cs="Times New Roman"/>
                <w:sz w:val="20"/>
                <w:szCs w:val="20"/>
              </w:rPr>
              <w:lastRenderedPageBreak/>
              <w:t>7</w:t>
            </w:r>
          </w:p>
        </w:tc>
        <w:tc>
          <w:tcPr>
            <w:tcW w:w="1583" w:type="dxa"/>
          </w:tcPr>
          <w:p w14:paraId="78D07EEC" w14:textId="77777777" w:rsidR="00D41C60" w:rsidRPr="008E17C8" w:rsidRDefault="00D41C60" w:rsidP="00D41C60">
            <w:pPr>
              <w:rPr>
                <w:rFonts w:ascii="Times New Roman" w:hAnsi="Times New Roman" w:cs="Times New Roman"/>
                <w:sz w:val="20"/>
                <w:szCs w:val="20"/>
              </w:rPr>
            </w:pPr>
            <w:r w:rsidRPr="008E17C8">
              <w:rPr>
                <w:rFonts w:ascii="Times New Roman" w:hAnsi="Times New Roman" w:cs="Times New Roman"/>
                <w:sz w:val="20"/>
                <w:szCs w:val="20"/>
              </w:rPr>
              <w:t>Gospodarstwa domowe</w:t>
            </w:r>
          </w:p>
        </w:tc>
        <w:tc>
          <w:tcPr>
            <w:tcW w:w="1556" w:type="dxa"/>
          </w:tcPr>
          <w:p w14:paraId="71A22D60" w14:textId="77777777" w:rsidR="00D41C60" w:rsidRPr="008E17C8" w:rsidRDefault="00D41C60" w:rsidP="00B06E6D">
            <w:pPr>
              <w:jc w:val="both"/>
              <w:rPr>
                <w:rFonts w:ascii="Times New Roman" w:hAnsi="Times New Roman" w:cs="Times New Roman"/>
                <w:sz w:val="20"/>
                <w:szCs w:val="20"/>
              </w:rPr>
            </w:pPr>
          </w:p>
        </w:tc>
        <w:tc>
          <w:tcPr>
            <w:tcW w:w="986" w:type="dxa"/>
          </w:tcPr>
          <w:p w14:paraId="75B3AFA3" w14:textId="77777777" w:rsidR="00D41C60" w:rsidRPr="008E17C8" w:rsidRDefault="00D41C60" w:rsidP="00B06E6D">
            <w:pPr>
              <w:jc w:val="both"/>
              <w:rPr>
                <w:rFonts w:ascii="Times New Roman" w:hAnsi="Times New Roman" w:cs="Times New Roman"/>
                <w:sz w:val="20"/>
                <w:szCs w:val="20"/>
              </w:rPr>
            </w:pPr>
          </w:p>
        </w:tc>
        <w:tc>
          <w:tcPr>
            <w:tcW w:w="1444" w:type="dxa"/>
            <w:shd w:val="clear" w:color="auto" w:fill="A6A6A6"/>
          </w:tcPr>
          <w:p w14:paraId="0965F27C" w14:textId="77777777" w:rsidR="00D41C60" w:rsidRPr="008E17C8" w:rsidRDefault="00D41C60" w:rsidP="00B06E6D">
            <w:pPr>
              <w:jc w:val="both"/>
              <w:rPr>
                <w:rFonts w:ascii="Times New Roman" w:hAnsi="Times New Roman" w:cs="Times New Roman"/>
                <w:sz w:val="20"/>
                <w:szCs w:val="20"/>
              </w:rPr>
            </w:pPr>
          </w:p>
        </w:tc>
        <w:tc>
          <w:tcPr>
            <w:tcW w:w="1186" w:type="dxa"/>
          </w:tcPr>
          <w:p w14:paraId="271432AD" w14:textId="77777777" w:rsidR="00D41C60" w:rsidRPr="008E17C8" w:rsidRDefault="00D41C60" w:rsidP="00B06E6D">
            <w:pPr>
              <w:jc w:val="both"/>
              <w:rPr>
                <w:rFonts w:ascii="Times New Roman" w:hAnsi="Times New Roman" w:cs="Times New Roman"/>
                <w:sz w:val="20"/>
                <w:szCs w:val="20"/>
              </w:rPr>
            </w:pPr>
          </w:p>
        </w:tc>
        <w:tc>
          <w:tcPr>
            <w:tcW w:w="1901" w:type="dxa"/>
            <w:gridSpan w:val="2"/>
          </w:tcPr>
          <w:p w14:paraId="4CE8D018" w14:textId="77777777" w:rsidR="00D41C60" w:rsidRPr="008E17C8" w:rsidRDefault="00D41C60" w:rsidP="00B06E6D">
            <w:pPr>
              <w:jc w:val="both"/>
              <w:rPr>
                <w:rFonts w:ascii="Times New Roman" w:hAnsi="Times New Roman" w:cs="Times New Roman"/>
                <w:sz w:val="20"/>
                <w:szCs w:val="20"/>
              </w:rPr>
            </w:pPr>
          </w:p>
        </w:tc>
        <w:tc>
          <w:tcPr>
            <w:tcW w:w="1736" w:type="dxa"/>
          </w:tcPr>
          <w:p w14:paraId="1A83F9DE" w14:textId="77777777" w:rsidR="00D41C60" w:rsidRPr="008E17C8" w:rsidRDefault="00D41C60" w:rsidP="00B06E6D">
            <w:pPr>
              <w:jc w:val="both"/>
              <w:rPr>
                <w:rFonts w:ascii="Times New Roman" w:hAnsi="Times New Roman" w:cs="Times New Roman"/>
                <w:sz w:val="20"/>
                <w:szCs w:val="20"/>
              </w:rPr>
            </w:pPr>
          </w:p>
        </w:tc>
        <w:tc>
          <w:tcPr>
            <w:tcW w:w="1041" w:type="dxa"/>
          </w:tcPr>
          <w:p w14:paraId="5415889F" w14:textId="77777777" w:rsidR="00D41C60" w:rsidRPr="008E17C8" w:rsidRDefault="00D41C60" w:rsidP="00B06E6D">
            <w:pPr>
              <w:jc w:val="both"/>
              <w:rPr>
                <w:rFonts w:ascii="Times New Roman" w:hAnsi="Times New Roman" w:cs="Times New Roman"/>
                <w:sz w:val="20"/>
                <w:szCs w:val="20"/>
              </w:rPr>
            </w:pPr>
          </w:p>
        </w:tc>
        <w:tc>
          <w:tcPr>
            <w:tcW w:w="2185" w:type="dxa"/>
            <w:shd w:val="clear" w:color="auto" w:fill="A6A6A6"/>
          </w:tcPr>
          <w:p w14:paraId="592726D5" w14:textId="77777777" w:rsidR="00D41C60" w:rsidRPr="008E17C8" w:rsidRDefault="00D41C60" w:rsidP="00B06E6D">
            <w:pPr>
              <w:jc w:val="both"/>
              <w:rPr>
                <w:rFonts w:ascii="Times New Roman" w:hAnsi="Times New Roman" w:cs="Times New Roman"/>
                <w:sz w:val="20"/>
                <w:szCs w:val="20"/>
              </w:rPr>
            </w:pPr>
          </w:p>
        </w:tc>
      </w:tr>
      <w:tr w:rsidR="00B06E6D" w:rsidRPr="008E17C8" w14:paraId="2F0E120B" w14:textId="77777777" w:rsidTr="00B06E6D">
        <w:tc>
          <w:tcPr>
            <w:tcW w:w="416" w:type="dxa"/>
            <w:vAlign w:val="center"/>
          </w:tcPr>
          <w:p w14:paraId="63A057A3" w14:textId="77777777" w:rsidR="00D41C60" w:rsidRPr="008E17C8" w:rsidRDefault="00D41C60" w:rsidP="00B06E6D">
            <w:pPr>
              <w:jc w:val="center"/>
              <w:rPr>
                <w:rFonts w:ascii="Times New Roman" w:hAnsi="Times New Roman" w:cs="Times New Roman"/>
                <w:sz w:val="20"/>
                <w:szCs w:val="20"/>
              </w:rPr>
            </w:pPr>
            <w:r w:rsidRPr="008E17C8">
              <w:rPr>
                <w:rFonts w:ascii="Times New Roman" w:hAnsi="Times New Roman" w:cs="Times New Roman"/>
                <w:sz w:val="20"/>
                <w:szCs w:val="20"/>
              </w:rPr>
              <w:t>8</w:t>
            </w:r>
          </w:p>
        </w:tc>
        <w:tc>
          <w:tcPr>
            <w:tcW w:w="1583" w:type="dxa"/>
          </w:tcPr>
          <w:p w14:paraId="194F063F" w14:textId="77777777" w:rsidR="00D41C60" w:rsidRPr="008E17C8" w:rsidRDefault="00D41C60" w:rsidP="00D41C60">
            <w:pPr>
              <w:rPr>
                <w:rFonts w:ascii="Times New Roman" w:hAnsi="Times New Roman" w:cs="Times New Roman"/>
                <w:sz w:val="20"/>
                <w:szCs w:val="20"/>
              </w:rPr>
            </w:pPr>
            <w:r w:rsidRPr="008E17C8">
              <w:rPr>
                <w:rFonts w:ascii="Times New Roman" w:hAnsi="Times New Roman" w:cs="Times New Roman"/>
                <w:sz w:val="20"/>
                <w:szCs w:val="20"/>
              </w:rPr>
              <w:t>Dłużne papiery wartościowe</w:t>
            </w:r>
          </w:p>
        </w:tc>
        <w:tc>
          <w:tcPr>
            <w:tcW w:w="1556" w:type="dxa"/>
          </w:tcPr>
          <w:p w14:paraId="07AF664C" w14:textId="77777777" w:rsidR="00D41C60" w:rsidRPr="008E17C8" w:rsidRDefault="00D41C60" w:rsidP="00B06E6D">
            <w:pPr>
              <w:jc w:val="both"/>
              <w:rPr>
                <w:rFonts w:ascii="Times New Roman" w:hAnsi="Times New Roman" w:cs="Times New Roman"/>
                <w:sz w:val="20"/>
                <w:szCs w:val="20"/>
              </w:rPr>
            </w:pPr>
          </w:p>
        </w:tc>
        <w:tc>
          <w:tcPr>
            <w:tcW w:w="986" w:type="dxa"/>
          </w:tcPr>
          <w:p w14:paraId="6EF4290E" w14:textId="77777777" w:rsidR="00D41C60" w:rsidRPr="008E17C8" w:rsidRDefault="00D41C60" w:rsidP="00B06E6D">
            <w:pPr>
              <w:jc w:val="both"/>
              <w:rPr>
                <w:rFonts w:ascii="Times New Roman" w:hAnsi="Times New Roman" w:cs="Times New Roman"/>
                <w:sz w:val="20"/>
                <w:szCs w:val="20"/>
              </w:rPr>
            </w:pPr>
          </w:p>
        </w:tc>
        <w:tc>
          <w:tcPr>
            <w:tcW w:w="1444" w:type="dxa"/>
            <w:shd w:val="clear" w:color="auto" w:fill="A6A6A6"/>
          </w:tcPr>
          <w:p w14:paraId="27D7E7D0" w14:textId="77777777" w:rsidR="00D41C60" w:rsidRPr="008E17C8" w:rsidRDefault="00D41C60" w:rsidP="00B06E6D">
            <w:pPr>
              <w:jc w:val="both"/>
              <w:rPr>
                <w:rFonts w:ascii="Times New Roman" w:hAnsi="Times New Roman" w:cs="Times New Roman"/>
                <w:sz w:val="20"/>
                <w:szCs w:val="20"/>
              </w:rPr>
            </w:pPr>
          </w:p>
        </w:tc>
        <w:tc>
          <w:tcPr>
            <w:tcW w:w="1186" w:type="dxa"/>
          </w:tcPr>
          <w:p w14:paraId="20E4D56E" w14:textId="77777777" w:rsidR="00D41C60" w:rsidRPr="008E17C8" w:rsidRDefault="00D41C60" w:rsidP="00B06E6D">
            <w:pPr>
              <w:jc w:val="both"/>
              <w:rPr>
                <w:rFonts w:ascii="Times New Roman" w:hAnsi="Times New Roman" w:cs="Times New Roman"/>
                <w:sz w:val="20"/>
                <w:szCs w:val="20"/>
              </w:rPr>
            </w:pPr>
          </w:p>
        </w:tc>
        <w:tc>
          <w:tcPr>
            <w:tcW w:w="1901" w:type="dxa"/>
            <w:gridSpan w:val="2"/>
          </w:tcPr>
          <w:p w14:paraId="05DC9FA7" w14:textId="77777777" w:rsidR="00D41C60" w:rsidRPr="008E17C8" w:rsidRDefault="00D41C60" w:rsidP="00B06E6D">
            <w:pPr>
              <w:jc w:val="both"/>
              <w:rPr>
                <w:rFonts w:ascii="Times New Roman" w:hAnsi="Times New Roman" w:cs="Times New Roman"/>
                <w:sz w:val="20"/>
                <w:szCs w:val="20"/>
              </w:rPr>
            </w:pPr>
          </w:p>
        </w:tc>
        <w:tc>
          <w:tcPr>
            <w:tcW w:w="1736" w:type="dxa"/>
          </w:tcPr>
          <w:p w14:paraId="7BE5701A" w14:textId="77777777" w:rsidR="00D41C60" w:rsidRPr="008E17C8" w:rsidRDefault="00D41C60" w:rsidP="00B06E6D">
            <w:pPr>
              <w:jc w:val="both"/>
              <w:rPr>
                <w:rFonts w:ascii="Times New Roman" w:hAnsi="Times New Roman" w:cs="Times New Roman"/>
                <w:sz w:val="20"/>
                <w:szCs w:val="20"/>
              </w:rPr>
            </w:pPr>
          </w:p>
        </w:tc>
        <w:tc>
          <w:tcPr>
            <w:tcW w:w="1041" w:type="dxa"/>
          </w:tcPr>
          <w:p w14:paraId="2C0A9C9E" w14:textId="77777777" w:rsidR="00D41C60" w:rsidRPr="008E17C8" w:rsidRDefault="00D41C60" w:rsidP="00B06E6D">
            <w:pPr>
              <w:jc w:val="both"/>
              <w:rPr>
                <w:rFonts w:ascii="Times New Roman" w:hAnsi="Times New Roman" w:cs="Times New Roman"/>
                <w:sz w:val="20"/>
                <w:szCs w:val="20"/>
              </w:rPr>
            </w:pPr>
          </w:p>
        </w:tc>
        <w:tc>
          <w:tcPr>
            <w:tcW w:w="2185" w:type="dxa"/>
            <w:shd w:val="clear" w:color="auto" w:fill="A6A6A6"/>
          </w:tcPr>
          <w:p w14:paraId="2E2726F3" w14:textId="77777777" w:rsidR="00D41C60" w:rsidRPr="008E17C8" w:rsidRDefault="00D41C60" w:rsidP="00B06E6D">
            <w:pPr>
              <w:jc w:val="both"/>
              <w:rPr>
                <w:rFonts w:ascii="Times New Roman" w:hAnsi="Times New Roman" w:cs="Times New Roman"/>
                <w:sz w:val="20"/>
                <w:szCs w:val="20"/>
              </w:rPr>
            </w:pPr>
          </w:p>
        </w:tc>
      </w:tr>
      <w:tr w:rsidR="00B06E6D" w:rsidRPr="008E17C8" w14:paraId="26B83A5F" w14:textId="77777777" w:rsidTr="00B06E6D">
        <w:tc>
          <w:tcPr>
            <w:tcW w:w="416" w:type="dxa"/>
            <w:vAlign w:val="center"/>
          </w:tcPr>
          <w:p w14:paraId="49D6FAB3" w14:textId="77777777" w:rsidR="00D41C60" w:rsidRPr="008E17C8" w:rsidRDefault="00D41C60" w:rsidP="00B06E6D">
            <w:pPr>
              <w:jc w:val="center"/>
              <w:rPr>
                <w:rFonts w:ascii="Times New Roman" w:hAnsi="Times New Roman" w:cs="Times New Roman"/>
                <w:sz w:val="20"/>
                <w:szCs w:val="20"/>
              </w:rPr>
            </w:pPr>
            <w:r w:rsidRPr="008E17C8">
              <w:rPr>
                <w:rFonts w:ascii="Times New Roman" w:hAnsi="Times New Roman" w:cs="Times New Roman"/>
                <w:sz w:val="20"/>
                <w:szCs w:val="20"/>
              </w:rPr>
              <w:t>9</w:t>
            </w:r>
          </w:p>
        </w:tc>
        <w:tc>
          <w:tcPr>
            <w:tcW w:w="1583" w:type="dxa"/>
          </w:tcPr>
          <w:p w14:paraId="575C8289" w14:textId="77777777" w:rsidR="00D41C60" w:rsidRPr="008E17C8" w:rsidRDefault="00D41C60" w:rsidP="00D41C60">
            <w:pPr>
              <w:rPr>
                <w:rFonts w:ascii="Times New Roman" w:hAnsi="Times New Roman" w:cs="Times New Roman"/>
                <w:sz w:val="20"/>
                <w:szCs w:val="20"/>
              </w:rPr>
            </w:pPr>
            <w:r w:rsidRPr="008E17C8">
              <w:rPr>
                <w:rFonts w:ascii="Times New Roman" w:hAnsi="Times New Roman" w:cs="Times New Roman"/>
                <w:sz w:val="20"/>
                <w:szCs w:val="20"/>
              </w:rPr>
              <w:t>Udzielone zobowiązania do udzielenia pożyczki</w:t>
            </w:r>
          </w:p>
        </w:tc>
        <w:tc>
          <w:tcPr>
            <w:tcW w:w="1556" w:type="dxa"/>
          </w:tcPr>
          <w:p w14:paraId="1308B5FD" w14:textId="77777777" w:rsidR="00D41C60" w:rsidRPr="008E17C8" w:rsidRDefault="00D41C60" w:rsidP="00B06E6D">
            <w:pPr>
              <w:jc w:val="both"/>
              <w:rPr>
                <w:rFonts w:ascii="Times New Roman" w:hAnsi="Times New Roman" w:cs="Times New Roman"/>
                <w:sz w:val="20"/>
                <w:szCs w:val="20"/>
              </w:rPr>
            </w:pPr>
          </w:p>
        </w:tc>
        <w:tc>
          <w:tcPr>
            <w:tcW w:w="986" w:type="dxa"/>
          </w:tcPr>
          <w:p w14:paraId="503A53D2" w14:textId="77777777" w:rsidR="00D41C60" w:rsidRPr="008E17C8" w:rsidRDefault="00D41C60" w:rsidP="00B06E6D">
            <w:pPr>
              <w:jc w:val="both"/>
              <w:rPr>
                <w:rFonts w:ascii="Times New Roman" w:hAnsi="Times New Roman" w:cs="Times New Roman"/>
                <w:sz w:val="20"/>
                <w:szCs w:val="20"/>
              </w:rPr>
            </w:pPr>
          </w:p>
        </w:tc>
        <w:tc>
          <w:tcPr>
            <w:tcW w:w="1444" w:type="dxa"/>
            <w:shd w:val="clear" w:color="auto" w:fill="A6A6A6"/>
          </w:tcPr>
          <w:p w14:paraId="68AE7FDF" w14:textId="77777777" w:rsidR="00D41C60" w:rsidRPr="008E17C8" w:rsidRDefault="00D41C60" w:rsidP="00B06E6D">
            <w:pPr>
              <w:jc w:val="both"/>
              <w:rPr>
                <w:rFonts w:ascii="Times New Roman" w:hAnsi="Times New Roman" w:cs="Times New Roman"/>
                <w:sz w:val="20"/>
                <w:szCs w:val="20"/>
              </w:rPr>
            </w:pPr>
          </w:p>
        </w:tc>
        <w:tc>
          <w:tcPr>
            <w:tcW w:w="1186" w:type="dxa"/>
          </w:tcPr>
          <w:p w14:paraId="096C6D06" w14:textId="77777777" w:rsidR="00D41C60" w:rsidRPr="008E17C8" w:rsidRDefault="00D41C60" w:rsidP="00B06E6D">
            <w:pPr>
              <w:jc w:val="both"/>
              <w:rPr>
                <w:rFonts w:ascii="Times New Roman" w:hAnsi="Times New Roman" w:cs="Times New Roman"/>
                <w:sz w:val="20"/>
                <w:szCs w:val="20"/>
              </w:rPr>
            </w:pPr>
          </w:p>
        </w:tc>
        <w:tc>
          <w:tcPr>
            <w:tcW w:w="1901" w:type="dxa"/>
            <w:gridSpan w:val="2"/>
          </w:tcPr>
          <w:p w14:paraId="1F9F3EF2" w14:textId="77777777" w:rsidR="00D41C60" w:rsidRPr="008E17C8" w:rsidRDefault="00D41C60" w:rsidP="00B06E6D">
            <w:pPr>
              <w:jc w:val="both"/>
              <w:rPr>
                <w:rFonts w:ascii="Times New Roman" w:hAnsi="Times New Roman" w:cs="Times New Roman"/>
                <w:sz w:val="20"/>
                <w:szCs w:val="20"/>
              </w:rPr>
            </w:pPr>
          </w:p>
        </w:tc>
        <w:tc>
          <w:tcPr>
            <w:tcW w:w="1736" w:type="dxa"/>
          </w:tcPr>
          <w:p w14:paraId="3B3E937F" w14:textId="77777777" w:rsidR="00D41C60" w:rsidRPr="008E17C8" w:rsidRDefault="00D41C60" w:rsidP="00B06E6D">
            <w:pPr>
              <w:jc w:val="both"/>
              <w:rPr>
                <w:rFonts w:ascii="Times New Roman" w:hAnsi="Times New Roman" w:cs="Times New Roman"/>
                <w:sz w:val="20"/>
                <w:szCs w:val="20"/>
              </w:rPr>
            </w:pPr>
          </w:p>
        </w:tc>
        <w:tc>
          <w:tcPr>
            <w:tcW w:w="1041" w:type="dxa"/>
          </w:tcPr>
          <w:p w14:paraId="6AAD30D9" w14:textId="77777777" w:rsidR="00D41C60" w:rsidRPr="008E17C8" w:rsidRDefault="00D41C60" w:rsidP="00B06E6D">
            <w:pPr>
              <w:jc w:val="both"/>
              <w:rPr>
                <w:rFonts w:ascii="Times New Roman" w:hAnsi="Times New Roman" w:cs="Times New Roman"/>
                <w:sz w:val="20"/>
                <w:szCs w:val="20"/>
              </w:rPr>
            </w:pPr>
          </w:p>
        </w:tc>
        <w:tc>
          <w:tcPr>
            <w:tcW w:w="2185" w:type="dxa"/>
            <w:shd w:val="clear" w:color="auto" w:fill="A6A6A6"/>
          </w:tcPr>
          <w:p w14:paraId="1137DA23" w14:textId="77777777" w:rsidR="00D41C60" w:rsidRPr="008E17C8" w:rsidRDefault="00D41C60" w:rsidP="00B06E6D">
            <w:pPr>
              <w:jc w:val="both"/>
              <w:rPr>
                <w:rFonts w:ascii="Times New Roman" w:hAnsi="Times New Roman" w:cs="Times New Roman"/>
                <w:sz w:val="20"/>
                <w:szCs w:val="20"/>
              </w:rPr>
            </w:pPr>
          </w:p>
        </w:tc>
      </w:tr>
      <w:tr w:rsidR="00B06E6D" w:rsidRPr="008E17C8" w14:paraId="50C6A76B" w14:textId="77777777" w:rsidTr="00B06E6D">
        <w:tc>
          <w:tcPr>
            <w:tcW w:w="416" w:type="dxa"/>
          </w:tcPr>
          <w:p w14:paraId="04A41732"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b/>
                <w:sz w:val="20"/>
                <w:szCs w:val="20"/>
              </w:rPr>
              <w:t>10</w:t>
            </w:r>
          </w:p>
        </w:tc>
        <w:tc>
          <w:tcPr>
            <w:tcW w:w="1583" w:type="dxa"/>
          </w:tcPr>
          <w:p w14:paraId="261A93FC"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b/>
                <w:sz w:val="20"/>
                <w:szCs w:val="20"/>
              </w:rPr>
              <w:t>Łącznie</w:t>
            </w:r>
          </w:p>
        </w:tc>
        <w:tc>
          <w:tcPr>
            <w:tcW w:w="1556" w:type="dxa"/>
          </w:tcPr>
          <w:p w14:paraId="64ABF493" w14:textId="77777777" w:rsidR="00D41C60" w:rsidRPr="008E17C8" w:rsidRDefault="00D41C60" w:rsidP="00B06E6D">
            <w:pPr>
              <w:jc w:val="both"/>
              <w:rPr>
                <w:rFonts w:ascii="Times New Roman" w:hAnsi="Times New Roman" w:cs="Times New Roman"/>
                <w:sz w:val="20"/>
                <w:szCs w:val="20"/>
              </w:rPr>
            </w:pPr>
          </w:p>
        </w:tc>
        <w:tc>
          <w:tcPr>
            <w:tcW w:w="986" w:type="dxa"/>
          </w:tcPr>
          <w:p w14:paraId="33D296ED" w14:textId="77777777" w:rsidR="00D41C60" w:rsidRPr="008E17C8" w:rsidRDefault="00D41C60" w:rsidP="00B06E6D">
            <w:pPr>
              <w:jc w:val="both"/>
              <w:rPr>
                <w:rFonts w:ascii="Times New Roman" w:hAnsi="Times New Roman" w:cs="Times New Roman"/>
                <w:sz w:val="20"/>
                <w:szCs w:val="20"/>
              </w:rPr>
            </w:pPr>
          </w:p>
        </w:tc>
        <w:tc>
          <w:tcPr>
            <w:tcW w:w="1444" w:type="dxa"/>
            <w:shd w:val="clear" w:color="auto" w:fill="A6A6A6"/>
          </w:tcPr>
          <w:p w14:paraId="30F4CEAD" w14:textId="77777777" w:rsidR="00D41C60" w:rsidRPr="008E17C8" w:rsidRDefault="00D41C60" w:rsidP="00B06E6D">
            <w:pPr>
              <w:jc w:val="both"/>
              <w:rPr>
                <w:rFonts w:ascii="Times New Roman" w:hAnsi="Times New Roman" w:cs="Times New Roman"/>
                <w:sz w:val="20"/>
                <w:szCs w:val="20"/>
              </w:rPr>
            </w:pPr>
          </w:p>
        </w:tc>
        <w:tc>
          <w:tcPr>
            <w:tcW w:w="1186" w:type="dxa"/>
          </w:tcPr>
          <w:p w14:paraId="3AA98EC0" w14:textId="77777777" w:rsidR="00D41C60" w:rsidRPr="008E17C8" w:rsidRDefault="00D41C60" w:rsidP="00B06E6D">
            <w:pPr>
              <w:jc w:val="both"/>
              <w:rPr>
                <w:rFonts w:ascii="Times New Roman" w:hAnsi="Times New Roman" w:cs="Times New Roman"/>
                <w:sz w:val="20"/>
                <w:szCs w:val="20"/>
              </w:rPr>
            </w:pPr>
          </w:p>
        </w:tc>
        <w:tc>
          <w:tcPr>
            <w:tcW w:w="1901" w:type="dxa"/>
            <w:gridSpan w:val="2"/>
          </w:tcPr>
          <w:p w14:paraId="15D635AB" w14:textId="77777777" w:rsidR="00D41C60" w:rsidRPr="008E17C8" w:rsidRDefault="00D41C60" w:rsidP="00B06E6D">
            <w:pPr>
              <w:jc w:val="both"/>
              <w:rPr>
                <w:rFonts w:ascii="Times New Roman" w:hAnsi="Times New Roman" w:cs="Times New Roman"/>
                <w:sz w:val="20"/>
                <w:szCs w:val="20"/>
              </w:rPr>
            </w:pPr>
          </w:p>
        </w:tc>
        <w:tc>
          <w:tcPr>
            <w:tcW w:w="1736" w:type="dxa"/>
          </w:tcPr>
          <w:p w14:paraId="55D59366" w14:textId="77777777" w:rsidR="00D41C60" w:rsidRPr="008E17C8" w:rsidRDefault="00D41C60" w:rsidP="00B06E6D">
            <w:pPr>
              <w:jc w:val="both"/>
              <w:rPr>
                <w:rFonts w:ascii="Times New Roman" w:hAnsi="Times New Roman" w:cs="Times New Roman"/>
                <w:sz w:val="20"/>
                <w:szCs w:val="20"/>
              </w:rPr>
            </w:pPr>
          </w:p>
        </w:tc>
        <w:tc>
          <w:tcPr>
            <w:tcW w:w="1041" w:type="dxa"/>
          </w:tcPr>
          <w:p w14:paraId="7D848552" w14:textId="77777777" w:rsidR="00D41C60" w:rsidRPr="008E17C8" w:rsidRDefault="00D41C60" w:rsidP="00B06E6D">
            <w:pPr>
              <w:jc w:val="both"/>
              <w:rPr>
                <w:rFonts w:ascii="Times New Roman" w:hAnsi="Times New Roman" w:cs="Times New Roman"/>
                <w:sz w:val="20"/>
                <w:szCs w:val="20"/>
              </w:rPr>
            </w:pPr>
          </w:p>
        </w:tc>
        <w:tc>
          <w:tcPr>
            <w:tcW w:w="2185" w:type="dxa"/>
            <w:shd w:val="clear" w:color="auto" w:fill="A6A6A6"/>
          </w:tcPr>
          <w:p w14:paraId="5FFB8FC0" w14:textId="77777777" w:rsidR="00D41C60" w:rsidRPr="008E17C8" w:rsidRDefault="00D41C60" w:rsidP="00B06E6D">
            <w:pPr>
              <w:jc w:val="both"/>
              <w:rPr>
                <w:rFonts w:ascii="Times New Roman" w:hAnsi="Times New Roman" w:cs="Times New Roman"/>
                <w:sz w:val="20"/>
                <w:szCs w:val="20"/>
              </w:rPr>
            </w:pPr>
          </w:p>
        </w:tc>
      </w:tr>
    </w:tbl>
    <w:p w14:paraId="02CD8411" w14:textId="77777777" w:rsidR="00D41C60" w:rsidRPr="008E17C8" w:rsidRDefault="00D41C60" w:rsidP="00D41C60">
      <w:pPr>
        <w:rPr>
          <w:rFonts w:ascii="Times New Roman" w:hAnsi="Times New Roman" w:cs="Times New Roman"/>
          <w:vanish/>
        </w:rPr>
      </w:pPr>
    </w:p>
    <w:tbl>
      <w:tblPr>
        <w:tblW w:w="7380" w:type="dxa"/>
        <w:tblCellMar>
          <w:left w:w="70" w:type="dxa"/>
          <w:right w:w="70" w:type="dxa"/>
        </w:tblCellMar>
        <w:tblLook w:val="04A0" w:firstRow="1" w:lastRow="0" w:firstColumn="1" w:lastColumn="0" w:noHBand="0" w:noVBand="1"/>
      </w:tblPr>
      <w:tblGrid>
        <w:gridCol w:w="2720"/>
        <w:gridCol w:w="1740"/>
        <w:gridCol w:w="1300"/>
        <w:gridCol w:w="1620"/>
      </w:tblGrid>
      <w:tr w:rsidR="00D41C60" w:rsidRPr="008E17C8" w14:paraId="7FD0808C" w14:textId="77777777" w:rsidTr="00D41C60">
        <w:trPr>
          <w:trHeight w:val="444"/>
        </w:trPr>
        <w:tc>
          <w:tcPr>
            <w:tcW w:w="2720" w:type="dxa"/>
            <w:tcBorders>
              <w:top w:val="nil"/>
              <w:left w:val="nil"/>
              <w:bottom w:val="nil"/>
              <w:right w:val="nil"/>
            </w:tcBorders>
            <w:noWrap/>
            <w:vAlign w:val="bottom"/>
            <w:hideMark/>
          </w:tcPr>
          <w:p w14:paraId="70119892" w14:textId="77777777" w:rsidR="00D41C60" w:rsidRPr="008E17C8" w:rsidRDefault="00D41C60" w:rsidP="00D41C60">
            <w:pPr>
              <w:rPr>
                <w:rFonts w:ascii="Times New Roman" w:hAnsi="Times New Roman" w:cs="Times New Roman"/>
                <w:sz w:val="22"/>
                <w:szCs w:val="22"/>
              </w:rPr>
            </w:pPr>
            <w:r w:rsidRPr="008E17C8">
              <w:rPr>
                <w:rFonts w:ascii="Times New Roman" w:hAnsi="Times New Roman" w:cs="Times New Roman"/>
                <w:sz w:val="22"/>
                <w:szCs w:val="22"/>
              </w:rPr>
              <w:t>Legenda:</w:t>
            </w:r>
          </w:p>
        </w:tc>
        <w:tc>
          <w:tcPr>
            <w:tcW w:w="1740" w:type="dxa"/>
            <w:tcBorders>
              <w:top w:val="nil"/>
              <w:left w:val="nil"/>
              <w:bottom w:val="nil"/>
              <w:right w:val="nil"/>
            </w:tcBorders>
            <w:noWrap/>
            <w:vAlign w:val="bottom"/>
            <w:hideMark/>
          </w:tcPr>
          <w:p w14:paraId="6E171E09" w14:textId="77777777" w:rsidR="00D41C60" w:rsidRPr="008E17C8" w:rsidRDefault="00D41C60" w:rsidP="00D41C60">
            <w:pPr>
              <w:rPr>
                <w:rFonts w:ascii="Times New Roman" w:hAnsi="Times New Roman" w:cs="Times New Roman"/>
                <w:sz w:val="22"/>
                <w:szCs w:val="22"/>
              </w:rPr>
            </w:pPr>
          </w:p>
        </w:tc>
        <w:tc>
          <w:tcPr>
            <w:tcW w:w="1300" w:type="dxa"/>
            <w:tcBorders>
              <w:top w:val="nil"/>
              <w:left w:val="nil"/>
              <w:bottom w:val="nil"/>
              <w:right w:val="nil"/>
            </w:tcBorders>
            <w:noWrap/>
            <w:vAlign w:val="bottom"/>
            <w:hideMark/>
          </w:tcPr>
          <w:p w14:paraId="07E828FF" w14:textId="77777777" w:rsidR="00D41C60" w:rsidRPr="008E17C8" w:rsidRDefault="00D41C60" w:rsidP="00D41C60">
            <w:pPr>
              <w:rPr>
                <w:rFonts w:ascii="Times New Roman" w:hAnsi="Times New Roman" w:cs="Times New Roman"/>
                <w:sz w:val="20"/>
                <w:szCs w:val="20"/>
              </w:rPr>
            </w:pPr>
          </w:p>
        </w:tc>
        <w:tc>
          <w:tcPr>
            <w:tcW w:w="1620" w:type="dxa"/>
            <w:tcBorders>
              <w:top w:val="nil"/>
              <w:left w:val="nil"/>
              <w:bottom w:val="nil"/>
              <w:right w:val="nil"/>
            </w:tcBorders>
            <w:noWrap/>
            <w:vAlign w:val="bottom"/>
            <w:hideMark/>
          </w:tcPr>
          <w:p w14:paraId="70797D80" w14:textId="77777777" w:rsidR="00D41C60" w:rsidRPr="008E17C8" w:rsidRDefault="00D41C60" w:rsidP="00D41C60">
            <w:pPr>
              <w:rPr>
                <w:rFonts w:ascii="Times New Roman" w:hAnsi="Times New Roman" w:cs="Times New Roman"/>
                <w:sz w:val="20"/>
                <w:szCs w:val="20"/>
              </w:rPr>
            </w:pPr>
          </w:p>
        </w:tc>
      </w:tr>
      <w:tr w:rsidR="00D41C60" w:rsidRPr="008E17C8" w14:paraId="2693B731" w14:textId="77777777" w:rsidTr="00D41C60">
        <w:trPr>
          <w:trHeight w:val="300"/>
        </w:trPr>
        <w:tc>
          <w:tcPr>
            <w:tcW w:w="2720" w:type="dxa"/>
            <w:tcBorders>
              <w:top w:val="single" w:sz="4" w:space="0" w:color="auto"/>
              <w:left w:val="single" w:sz="4" w:space="0" w:color="auto"/>
              <w:bottom w:val="single" w:sz="4" w:space="0" w:color="auto"/>
              <w:right w:val="single" w:sz="4" w:space="0" w:color="auto"/>
            </w:tcBorders>
            <w:noWrap/>
            <w:vAlign w:val="bottom"/>
            <w:hideMark/>
          </w:tcPr>
          <w:p w14:paraId="7CE06E2C" w14:textId="77777777" w:rsidR="00D41C60" w:rsidRPr="008E17C8" w:rsidRDefault="00D41C60" w:rsidP="00D41C60">
            <w:pPr>
              <w:rPr>
                <w:rFonts w:ascii="Times New Roman" w:hAnsi="Times New Roman" w:cs="Times New Roman"/>
                <w:color w:val="000000"/>
                <w:sz w:val="22"/>
                <w:szCs w:val="22"/>
              </w:rPr>
            </w:pPr>
            <w:r w:rsidRPr="008E17C8">
              <w:rPr>
                <w:rFonts w:ascii="Times New Roman" w:hAnsi="Times New Roman" w:cs="Times New Roman"/>
                <w:color w:val="000000"/>
                <w:sz w:val="22"/>
                <w:szCs w:val="22"/>
              </w:rPr>
              <w:t> </w:t>
            </w:r>
          </w:p>
        </w:tc>
        <w:tc>
          <w:tcPr>
            <w:tcW w:w="4660" w:type="dxa"/>
            <w:gridSpan w:val="3"/>
            <w:tcBorders>
              <w:top w:val="nil"/>
              <w:left w:val="nil"/>
              <w:bottom w:val="nil"/>
              <w:right w:val="nil"/>
            </w:tcBorders>
            <w:noWrap/>
            <w:vAlign w:val="bottom"/>
            <w:hideMark/>
          </w:tcPr>
          <w:p w14:paraId="48EF7CCE" w14:textId="77777777" w:rsidR="00D41C60" w:rsidRPr="008E17C8" w:rsidRDefault="00D41C60" w:rsidP="00D41C60">
            <w:pPr>
              <w:rPr>
                <w:rFonts w:ascii="Times New Roman" w:hAnsi="Times New Roman" w:cs="Times New Roman"/>
                <w:color w:val="000000"/>
                <w:sz w:val="22"/>
                <w:szCs w:val="22"/>
              </w:rPr>
            </w:pPr>
            <w:r w:rsidRPr="008E17C8">
              <w:rPr>
                <w:rFonts w:ascii="Times New Roman" w:hAnsi="Times New Roman" w:cs="Times New Roman"/>
                <w:color w:val="000000"/>
                <w:sz w:val="22"/>
                <w:szCs w:val="22"/>
              </w:rPr>
              <w:t>pola, których wypełnianie jest obowiązkowe</w:t>
            </w:r>
          </w:p>
        </w:tc>
      </w:tr>
      <w:tr w:rsidR="00D41C60" w:rsidRPr="008E17C8" w14:paraId="6DA5D67B" w14:textId="77777777" w:rsidTr="00D41C60">
        <w:trPr>
          <w:trHeight w:val="300"/>
        </w:trPr>
        <w:tc>
          <w:tcPr>
            <w:tcW w:w="2720" w:type="dxa"/>
            <w:tcBorders>
              <w:top w:val="single" w:sz="4" w:space="0" w:color="auto"/>
              <w:left w:val="single" w:sz="4" w:space="0" w:color="3F3F3F"/>
              <w:bottom w:val="single" w:sz="4" w:space="0" w:color="3F3F3F"/>
              <w:right w:val="single" w:sz="4" w:space="0" w:color="3F3F3F"/>
            </w:tcBorders>
            <w:shd w:val="clear" w:color="000000" w:fill="A6A6A6"/>
            <w:noWrap/>
            <w:vAlign w:val="bottom"/>
            <w:hideMark/>
          </w:tcPr>
          <w:p w14:paraId="0BE789CD" w14:textId="77777777" w:rsidR="00D41C60" w:rsidRPr="008E17C8" w:rsidRDefault="00D41C60" w:rsidP="00D41C60">
            <w:pPr>
              <w:rPr>
                <w:rFonts w:ascii="Times New Roman" w:hAnsi="Times New Roman" w:cs="Times New Roman"/>
                <w:b/>
                <w:bCs/>
                <w:color w:val="3F3F3F"/>
                <w:sz w:val="22"/>
                <w:szCs w:val="22"/>
              </w:rPr>
            </w:pPr>
            <w:r w:rsidRPr="008E17C8">
              <w:rPr>
                <w:rFonts w:ascii="Times New Roman" w:hAnsi="Times New Roman" w:cs="Times New Roman"/>
                <w:b/>
                <w:bCs/>
                <w:color w:val="3F3F3F"/>
                <w:sz w:val="22"/>
                <w:szCs w:val="22"/>
              </w:rPr>
              <w:t> </w:t>
            </w:r>
          </w:p>
        </w:tc>
        <w:tc>
          <w:tcPr>
            <w:tcW w:w="4660" w:type="dxa"/>
            <w:gridSpan w:val="3"/>
            <w:tcBorders>
              <w:top w:val="nil"/>
              <w:left w:val="nil"/>
              <w:bottom w:val="nil"/>
              <w:right w:val="nil"/>
            </w:tcBorders>
            <w:noWrap/>
            <w:vAlign w:val="bottom"/>
            <w:hideMark/>
          </w:tcPr>
          <w:p w14:paraId="4C9E3D63" w14:textId="77777777" w:rsidR="00D41C60" w:rsidRPr="008E17C8" w:rsidRDefault="00D41C60" w:rsidP="00D41C60">
            <w:pPr>
              <w:rPr>
                <w:rFonts w:ascii="Times New Roman" w:hAnsi="Times New Roman" w:cs="Times New Roman"/>
                <w:color w:val="000000"/>
                <w:sz w:val="22"/>
                <w:szCs w:val="22"/>
              </w:rPr>
            </w:pPr>
            <w:r w:rsidRPr="008E17C8">
              <w:rPr>
                <w:rFonts w:ascii="Times New Roman" w:hAnsi="Times New Roman" w:cs="Times New Roman"/>
                <w:color w:val="000000"/>
                <w:sz w:val="22"/>
                <w:szCs w:val="22"/>
              </w:rPr>
              <w:t>pola, których wypełnianie jest nieobowiązkowe</w:t>
            </w:r>
          </w:p>
        </w:tc>
      </w:tr>
    </w:tbl>
    <w:p w14:paraId="0E220C85" w14:textId="77777777" w:rsidR="00D41C60" w:rsidRPr="008E17C8" w:rsidRDefault="00D41C60" w:rsidP="00D41C60">
      <w:pPr>
        <w:rPr>
          <w:rFonts w:ascii="Times New Roman" w:hAnsi="Times New Roman" w:cs="Times New Roman"/>
        </w:rPr>
      </w:pPr>
    </w:p>
    <w:p w14:paraId="4B470A14" w14:textId="77777777" w:rsidR="00D41C60" w:rsidRPr="008E17C8" w:rsidRDefault="00D41C60" w:rsidP="00D41C60">
      <w:pPr>
        <w:rPr>
          <w:rFonts w:ascii="Times New Roman" w:hAnsi="Times New Roman" w:cs="Times New Roman"/>
          <w:b/>
          <w:color w:val="00B050"/>
          <w:u w:val="single"/>
        </w:rPr>
      </w:pPr>
      <w:r w:rsidRPr="008E17C8">
        <w:rPr>
          <w:rFonts w:ascii="Times New Roman" w:hAnsi="Times New Roman" w:cs="Times New Roman"/>
          <w:b/>
          <w:color w:val="00B050"/>
          <w:u w:val="single"/>
        </w:rPr>
        <w:t>Instrukcja wypełniania</w:t>
      </w:r>
    </w:p>
    <w:p w14:paraId="7F5A9134" w14:textId="77777777" w:rsidR="00D41C60" w:rsidRPr="008E17C8" w:rsidRDefault="00D41C60" w:rsidP="00D41C60">
      <w:pPr>
        <w:rPr>
          <w:rFonts w:ascii="Times New Roman" w:hAnsi="Times New Roman" w:cs="Times New Roman"/>
          <w:b/>
          <w:color w:val="00B050"/>
          <w:u w:val="single"/>
        </w:rPr>
      </w:pPr>
    </w:p>
    <w:p w14:paraId="50818654" w14:textId="77777777" w:rsidR="00D41C60" w:rsidRPr="008E17C8" w:rsidRDefault="00D41C60" w:rsidP="00D41C60">
      <w:pPr>
        <w:rPr>
          <w:rFonts w:ascii="Times New Roman" w:hAnsi="Times New Roman" w:cs="Times New Roman"/>
          <w:b/>
          <w:color w:val="00B050"/>
          <w:u w:val="single"/>
        </w:rPr>
      </w:pPr>
      <w:r w:rsidRPr="008E17C8">
        <w:rPr>
          <w:rFonts w:ascii="Times New Roman" w:hAnsi="Times New Roman" w:cs="Times New Roman"/>
          <w:b/>
          <w:color w:val="00B050"/>
          <w:u w:val="single"/>
        </w:rPr>
        <w:t>Kolumny:</w:t>
      </w:r>
    </w:p>
    <w:p w14:paraId="140B29E6" w14:textId="77777777" w:rsidR="00D41C60" w:rsidRPr="008E17C8" w:rsidRDefault="00D41C60" w:rsidP="00D41C60">
      <w:pPr>
        <w:jc w:val="both"/>
        <w:rPr>
          <w:rFonts w:ascii="Times New Roman" w:hAnsi="Times New Roman" w:cs="Times New Roman"/>
          <w:b/>
          <w:color w:val="00B050"/>
        </w:rPr>
      </w:pPr>
    </w:p>
    <w:p w14:paraId="0B5306D1" w14:textId="77777777" w:rsidR="00D41C60" w:rsidRPr="008E17C8" w:rsidRDefault="00D41C60" w:rsidP="00D41C60">
      <w:pPr>
        <w:jc w:val="both"/>
        <w:rPr>
          <w:rFonts w:ascii="Times New Roman" w:hAnsi="Times New Roman" w:cs="Times New Roman"/>
          <w:color w:val="00B050"/>
        </w:rPr>
      </w:pPr>
      <w:r w:rsidRPr="008E17C8">
        <w:rPr>
          <w:rFonts w:ascii="Times New Roman" w:hAnsi="Times New Roman" w:cs="Times New Roman"/>
          <w:b/>
          <w:color w:val="00B050"/>
        </w:rPr>
        <w:t>Wartość bilansowa brutto</w:t>
      </w:r>
      <w:r w:rsidRPr="008E17C8">
        <w:rPr>
          <w:rFonts w:ascii="Times New Roman" w:hAnsi="Times New Roman" w:cs="Times New Roman"/>
          <w:color w:val="00B050"/>
        </w:rPr>
        <w:t xml:space="preserve">: wartość bilansowa brutto zgodnie z załącznikiem V część 1 pkt 34 do rozporządzenia wykonawczego Komisji (UE) nr 680/2014. </w:t>
      </w:r>
    </w:p>
    <w:p w14:paraId="0B39447D" w14:textId="77777777" w:rsidR="00D41C60" w:rsidRPr="008E17C8" w:rsidRDefault="00D41C60" w:rsidP="00D41C60">
      <w:pPr>
        <w:jc w:val="both"/>
        <w:rPr>
          <w:rFonts w:ascii="Times New Roman" w:hAnsi="Times New Roman" w:cs="Times New Roman"/>
          <w:color w:val="00B050"/>
        </w:rPr>
      </w:pPr>
      <w:r w:rsidRPr="008E17C8">
        <w:rPr>
          <w:rFonts w:ascii="Times New Roman" w:hAnsi="Times New Roman" w:cs="Times New Roman"/>
          <w:color w:val="00B050"/>
        </w:rPr>
        <w:t>W przypadku udzielonych zobowiązań do udzielenia pożyczki należy zgłosić kwotę nominalną w rozumieniu załącznika V część 2 pkt 118 do rozporządzenia wykonawczego Komisji (UE) nr 680/2014.</w:t>
      </w:r>
    </w:p>
    <w:p w14:paraId="2F052A9B" w14:textId="77777777" w:rsidR="00D41C60" w:rsidRPr="008E17C8" w:rsidRDefault="00D41C60" w:rsidP="00D41C60">
      <w:pPr>
        <w:rPr>
          <w:rFonts w:ascii="Times New Roman" w:hAnsi="Times New Roman" w:cs="Times New Roman"/>
          <w:color w:val="00B050"/>
        </w:rPr>
      </w:pPr>
    </w:p>
    <w:p w14:paraId="744042D0" w14:textId="77777777" w:rsidR="00D41C60" w:rsidRPr="008E17C8" w:rsidRDefault="00D41C60" w:rsidP="00D41C60">
      <w:pPr>
        <w:ind w:left="284"/>
        <w:jc w:val="both"/>
        <w:rPr>
          <w:rFonts w:ascii="Times New Roman" w:hAnsi="Times New Roman" w:cs="Times New Roman"/>
          <w:i/>
          <w:color w:val="00B050"/>
        </w:rPr>
      </w:pPr>
      <w:r w:rsidRPr="008E17C8">
        <w:rPr>
          <w:rFonts w:ascii="Times New Roman" w:hAnsi="Times New Roman" w:cs="Times New Roman"/>
          <w:i/>
          <w:color w:val="00B050"/>
        </w:rPr>
        <w:t>34. Wartość bilansowa brutto instrumentów dłużnych ma następujące znaczenie:</w:t>
      </w:r>
    </w:p>
    <w:p w14:paraId="605022D7" w14:textId="77777777" w:rsidR="00D41C60" w:rsidRPr="008E17C8" w:rsidRDefault="00D41C60" w:rsidP="00D41C60">
      <w:pPr>
        <w:ind w:left="284"/>
        <w:jc w:val="both"/>
        <w:rPr>
          <w:rFonts w:ascii="Times New Roman" w:hAnsi="Times New Roman" w:cs="Times New Roman"/>
          <w:i/>
          <w:color w:val="00B050"/>
        </w:rPr>
      </w:pPr>
      <w:r w:rsidRPr="008E17C8">
        <w:rPr>
          <w:rFonts w:ascii="Times New Roman" w:hAnsi="Times New Roman" w:cs="Times New Roman"/>
          <w:i/>
          <w:color w:val="00B050"/>
        </w:rPr>
        <w:t>a) w przypadku instrumentów dłużnych wycenianych według wartości godziwej przez wynik finansowy, niezaliczonych do portfela instrumentów przeznaczonych do obrotu lub instrumentów z przeznaczeniem do obrotu, wartość bilansowa brutto zależy od tego, czy sklasyfikowano je jako obsługiwane bądź nieobsługiwane. W przypadku obsługiwanych instrumentów dłużnych wartość bilansową brutto stanowi wartość godziwa. W przypadku nieobsługiwanych instrumentów dłużnych wartość bilansową brutto stanowi wartość godziwa po ponownym doliczeniu wszelkich skumulowanych ujemnych korekt wartości godziwej ze względu na ryzyko kredytowe, jak określono w części 2 pkt 69 niniejszego załącznika. Do celów określenia wartości bilansowej brutto wycenę instrumentów dłużnych przeprowadza się na poziomie pojedynczych instrumentów finansowych;</w:t>
      </w:r>
    </w:p>
    <w:p w14:paraId="7D5586EA" w14:textId="77777777" w:rsidR="00D41C60" w:rsidRPr="008E17C8" w:rsidRDefault="00D41C60" w:rsidP="00D41C60">
      <w:pPr>
        <w:ind w:left="284"/>
        <w:jc w:val="both"/>
        <w:rPr>
          <w:rFonts w:ascii="Times New Roman" w:hAnsi="Times New Roman" w:cs="Times New Roman"/>
          <w:i/>
          <w:color w:val="00B050"/>
        </w:rPr>
      </w:pPr>
      <w:r w:rsidRPr="008E17C8">
        <w:rPr>
          <w:rFonts w:ascii="Times New Roman" w:hAnsi="Times New Roman" w:cs="Times New Roman"/>
          <w:i/>
          <w:color w:val="00B050"/>
        </w:rPr>
        <w:t>b)  w przypadku instrumentów dłużnych wycenianych według kosztu zamortyzowanego lub według wartości godziwej przez inne całkowite dochody wartość bilansowa brutto oznacza wartość bilansową przed korektą o odpis na straty;</w:t>
      </w:r>
    </w:p>
    <w:p w14:paraId="5525C607" w14:textId="77777777" w:rsidR="00D41C60" w:rsidRPr="008E17C8" w:rsidRDefault="00D41C60" w:rsidP="00D41C60">
      <w:pPr>
        <w:ind w:left="284"/>
        <w:jc w:val="both"/>
        <w:rPr>
          <w:rFonts w:ascii="Times New Roman" w:hAnsi="Times New Roman" w:cs="Times New Roman"/>
          <w:i/>
          <w:color w:val="00B050"/>
        </w:rPr>
      </w:pPr>
      <w:r w:rsidRPr="008E17C8">
        <w:rPr>
          <w:rFonts w:ascii="Times New Roman" w:hAnsi="Times New Roman" w:cs="Times New Roman"/>
          <w:i/>
          <w:color w:val="00B050"/>
        </w:rPr>
        <w:lastRenderedPageBreak/>
        <w:t>c) w przypadku instrumentów dłużnych sklasyfikowanych jako „aktywa finansowe niebędące instrumentami pochodnymi nieprzeznaczone do obrotu wyceniane metodą ceny nabycia” wartość bilansowa brutto aktywów, które utraciły wartość, jest równa wartości bilansowej przed korektą o indywidualne odpisy z tytułu ryzyka kredytowego. Wartość bilansowa brutto aktywów, które nie utraciły wartości, odpowiada wartości bilansowej przed korektą o ogólne odpisy aktualizujące z tytułu ryzyka kredytowego i ogólne odpisy aktualizujące z tytułu ryzyka bankowego, o ile wpływają one na wartość bilansową;</w:t>
      </w:r>
    </w:p>
    <w:p w14:paraId="252AE0AC" w14:textId="77777777" w:rsidR="00D41C60" w:rsidRPr="008E17C8" w:rsidRDefault="00D41C60" w:rsidP="00D41C60">
      <w:pPr>
        <w:ind w:left="284"/>
        <w:jc w:val="both"/>
        <w:rPr>
          <w:rFonts w:ascii="Times New Roman" w:hAnsi="Times New Roman" w:cs="Times New Roman"/>
          <w:i/>
          <w:color w:val="00B050"/>
        </w:rPr>
      </w:pPr>
      <w:r w:rsidRPr="008E17C8">
        <w:rPr>
          <w:rFonts w:ascii="Times New Roman" w:hAnsi="Times New Roman" w:cs="Times New Roman"/>
          <w:i/>
          <w:color w:val="00B050"/>
        </w:rPr>
        <w:t>d)  wartość bilansowa brutto instrumentów dłużnych sklasyfikowanych jako „Aktywa finansowe niebędące instrumentami pochodnymi nieprzeznaczone do obrotu wyceniane według wartości godziwej przez kapitały” zależy do tego, czy te aktywa finansowe podlegają wymogom z zakresu utraty wartości. Jeżeli wspomniane aktywa podlegają wymogom z zakresu utraty wartości, wartość bilansową brutto stanowi wartość bilansowa przed korektą o wszelką skumulowaną utratę wartości, stosując wymogi określone w lit. c) powyżej w odniesieniu do aktywów, które utraciły wartość, oraz aktywów, które nie utraciły wartości, bądź o skumulowaną kwotę korekty wartości godziwej, którą uznano za odpis aktualizujący z tytułu utraty wartości. Jeżeli te aktywa finansowe nie podlegają wymogom z zakresu utraty wartości, wartość bilansową brutto tych aktywów finansowych stanowi wartość godziwa w przypadku ekspozycji obsługiwanych, a w przypadku ekspozycji nieobsługiwanych – wartość godziwa po ponownym doliczeniu wszelkich skumulowanych negatywnych korekt wartości godziwej ze względu na ryzyko kredytowe;</w:t>
      </w:r>
    </w:p>
    <w:p w14:paraId="78F9F010" w14:textId="77777777" w:rsidR="00D41C60" w:rsidRPr="008E17C8" w:rsidRDefault="00D41C60" w:rsidP="00D41C60">
      <w:pPr>
        <w:ind w:left="284"/>
        <w:jc w:val="both"/>
        <w:rPr>
          <w:rFonts w:ascii="Times New Roman" w:hAnsi="Times New Roman" w:cs="Times New Roman"/>
          <w:i/>
          <w:color w:val="00B050"/>
        </w:rPr>
      </w:pPr>
      <w:r w:rsidRPr="008E17C8">
        <w:rPr>
          <w:rFonts w:ascii="Times New Roman" w:hAnsi="Times New Roman" w:cs="Times New Roman"/>
          <w:i/>
          <w:color w:val="00B050"/>
        </w:rPr>
        <w:t>e)  wartość bilansową brutto instrumentów dłużnych wycenionych według LOCOM (wyceniane według niższej spośród dwóch wartości: kwoty w momencie początkowego ujęcia lub wartości godziwej (tzw. "wycena według ceny nabycia lub wartości rynkowej" lub "</w:t>
      </w:r>
      <w:r w:rsidRPr="008E17C8">
        <w:rPr>
          <w:rFonts w:ascii="Times New Roman" w:hAnsi="Times New Roman" w:cs="Times New Roman"/>
          <w:color w:val="00B050"/>
        </w:rPr>
        <w:t>LOCOM</w:t>
      </w:r>
      <w:r w:rsidRPr="008E17C8">
        <w:rPr>
          <w:rFonts w:ascii="Times New Roman" w:hAnsi="Times New Roman" w:cs="Times New Roman"/>
          <w:i/>
          <w:color w:val="00B050"/>
        </w:rPr>
        <w:t>", w trybie bezwarunkowym lub warunkowym stanowi cena nabycia, jeżeli w okresie sprawozdawczym wyceniano je według ceny nabycia. Jeżeli te instrumenty dłużne wycenia się według wartości rynkowej, wartość bilansową brutto stanowi wartość rynkowa przed korektą o korekty wartości spowodowane ryzykiem kredytowym;</w:t>
      </w:r>
    </w:p>
    <w:p w14:paraId="277B7DE4" w14:textId="77777777" w:rsidR="00D41C60" w:rsidRPr="008E17C8" w:rsidRDefault="00D41C60" w:rsidP="00D41C60">
      <w:pPr>
        <w:ind w:left="284"/>
        <w:jc w:val="both"/>
        <w:rPr>
          <w:rFonts w:ascii="Times New Roman" w:hAnsi="Times New Roman" w:cs="Times New Roman"/>
          <w:i/>
          <w:color w:val="00B050"/>
        </w:rPr>
      </w:pPr>
      <w:r w:rsidRPr="008E17C8">
        <w:rPr>
          <w:rFonts w:ascii="Times New Roman" w:hAnsi="Times New Roman" w:cs="Times New Roman"/>
          <w:i/>
          <w:color w:val="00B050"/>
        </w:rPr>
        <w:t>f)  w odniesieniu do instrumentów dłużnych zgłaszanych w pozycji „Inne aktywa finansowe niebędące instrumentami pochodnymi nieprzeznaczone do obrotu” według metod wyceny innych niż LOCOM wartość bilansową brutto stanowi wartość bilansowa przed uwzględnieniem jakichkolwiek korekt wyceny, które kwalifikują się jako utrata wartości;</w:t>
      </w:r>
    </w:p>
    <w:p w14:paraId="479952D8" w14:textId="77777777" w:rsidR="00D41C60" w:rsidRPr="008E17C8" w:rsidRDefault="00D41C60" w:rsidP="00D41C60">
      <w:pPr>
        <w:ind w:left="284"/>
        <w:jc w:val="both"/>
        <w:rPr>
          <w:rFonts w:ascii="Times New Roman" w:hAnsi="Times New Roman" w:cs="Times New Roman"/>
          <w:i/>
          <w:color w:val="00B050"/>
        </w:rPr>
      </w:pPr>
      <w:r w:rsidRPr="008E17C8">
        <w:rPr>
          <w:rFonts w:ascii="Times New Roman" w:hAnsi="Times New Roman" w:cs="Times New Roman"/>
          <w:i/>
          <w:color w:val="00B050"/>
        </w:rPr>
        <w:t>g) w przypadku aktywów finansowych z przeznaczeniem do obrotu wartość bilansową brutto stanowi wartość godziwa. Jeżeli z ogólnie przyjętych zasad rachunkowości wynika wymóg redukcji wartości w odniesieniu do instrumentów przeznaczonych do obrotu i wycenianych według wartości godziwej, wartość bilansową instrumentów finansowych stanowi wartość godziwa przed wspomnianymi redukcjami wartości.</w:t>
      </w:r>
    </w:p>
    <w:p w14:paraId="600BF917" w14:textId="77777777" w:rsidR="00D41C60" w:rsidRPr="008E17C8" w:rsidRDefault="00D41C60" w:rsidP="00D41C60">
      <w:pPr>
        <w:ind w:left="284"/>
        <w:jc w:val="both"/>
        <w:rPr>
          <w:rFonts w:ascii="Times New Roman" w:hAnsi="Times New Roman" w:cs="Times New Roman"/>
          <w:i/>
          <w:color w:val="00B050"/>
        </w:rPr>
      </w:pPr>
    </w:p>
    <w:p w14:paraId="465FD247" w14:textId="77777777" w:rsidR="00D41C60" w:rsidRPr="008E17C8" w:rsidRDefault="00D41C60" w:rsidP="00D41C60">
      <w:pPr>
        <w:ind w:left="284"/>
        <w:jc w:val="both"/>
        <w:rPr>
          <w:rFonts w:ascii="Times New Roman" w:hAnsi="Times New Roman" w:cs="Times New Roman"/>
        </w:rPr>
      </w:pPr>
      <w:r w:rsidRPr="008E17C8">
        <w:rPr>
          <w:rFonts w:ascii="Times New Roman" w:hAnsi="Times New Roman" w:cs="Times New Roman"/>
          <w:i/>
          <w:color w:val="00B050"/>
        </w:rPr>
        <w:t>118. W odniesieniu do udzielonych gwarancji finansowych, zobowiązań do udzielenia pożyczki i innych zobowiązań „Kwota nominalna” oznacza kwotę najlepiej odzwierciedlającą maksymalną ekspozycję instytucji na ryzyko kredytowe, nie uwzględniając żadnych ustanowionych zabezpieczeń lub innych instrumentów wsparcia jakości kredytowej. W szczególności w odniesieniu do udzielonych gwarancji finansowych kwota nominalna oznacza maksymalną kwotę, którą jednostka musiałaby zapłacić w przypadku konieczności wypłaty świadczenia z tytułu gwarancji. W odniesieniu do zobowiązań do udzielenia pożyczki kwota nominalna oznacza niewykorzystaną kwotę, którą instytucja zobowiązała się pożyczyć. Kwoty nominalne są to wartości ekspozycji przed zastosowaniem współczynników konwersji i technik ograniczania ryzyka kredytowego</w:t>
      </w:r>
      <w:r w:rsidRPr="008E17C8">
        <w:rPr>
          <w:rFonts w:ascii="Times New Roman" w:hAnsi="Times New Roman" w:cs="Times New Roman"/>
        </w:rPr>
        <w:t>.</w:t>
      </w:r>
    </w:p>
    <w:p w14:paraId="6512CF59" w14:textId="77777777" w:rsidR="00D41C60" w:rsidRPr="008E17C8" w:rsidRDefault="00D41C60" w:rsidP="00D41C60">
      <w:pPr>
        <w:rPr>
          <w:rFonts w:ascii="Times New Roman" w:hAnsi="Times New Roman" w:cs="Times New Roman"/>
        </w:rPr>
      </w:pPr>
    </w:p>
    <w:p w14:paraId="1DA97635" w14:textId="77777777" w:rsidR="00D41C60" w:rsidRPr="008E17C8" w:rsidRDefault="00D41C60" w:rsidP="00D41C60">
      <w:pPr>
        <w:jc w:val="both"/>
        <w:rPr>
          <w:rFonts w:ascii="Times New Roman" w:hAnsi="Times New Roman" w:cs="Times New Roman"/>
          <w:color w:val="00B050"/>
        </w:rPr>
      </w:pPr>
      <w:r w:rsidRPr="008E17C8">
        <w:rPr>
          <w:rFonts w:ascii="Times New Roman" w:hAnsi="Times New Roman" w:cs="Times New Roman"/>
          <w:color w:val="00B050"/>
        </w:rPr>
        <w:t>Wartość bilansowa brutto związana z ekspozycjami dotkniętymi utratą wartości to wielkość z pomniejszeniem o częściowy i całkowite odpisanie.</w:t>
      </w:r>
    </w:p>
    <w:p w14:paraId="09287FD0" w14:textId="77777777" w:rsidR="00D41C60" w:rsidRPr="008E17C8" w:rsidRDefault="00D41C60" w:rsidP="00D41C60">
      <w:pPr>
        <w:rPr>
          <w:rFonts w:ascii="Times New Roman" w:hAnsi="Times New Roman" w:cs="Times New Roman"/>
          <w:color w:val="00B050"/>
        </w:rPr>
      </w:pPr>
    </w:p>
    <w:p w14:paraId="71BBF6A5" w14:textId="77777777" w:rsidR="00D41C60" w:rsidRPr="008E17C8" w:rsidRDefault="00D41C60" w:rsidP="00D41C60">
      <w:pPr>
        <w:jc w:val="both"/>
        <w:rPr>
          <w:rFonts w:ascii="Times New Roman" w:hAnsi="Times New Roman" w:cs="Times New Roman"/>
          <w:color w:val="00B050"/>
          <w:szCs w:val="16"/>
        </w:rPr>
      </w:pPr>
      <w:r w:rsidRPr="008E17C8">
        <w:rPr>
          <w:rFonts w:ascii="Times New Roman" w:hAnsi="Times New Roman" w:cs="Times New Roman"/>
          <w:b/>
          <w:color w:val="00B050"/>
          <w:szCs w:val="16"/>
        </w:rPr>
        <w:t>Ekspozycje dotknięte utratą wartości</w:t>
      </w:r>
      <w:r w:rsidRPr="008E17C8">
        <w:rPr>
          <w:rFonts w:ascii="Times New Roman" w:hAnsi="Times New Roman" w:cs="Times New Roman"/>
          <w:color w:val="00B050"/>
          <w:szCs w:val="16"/>
        </w:rPr>
        <w:t xml:space="preserve">: ekspozycje restrukturyzowane będące również ekspozycjami dotkniętymi utratą wartości zgodnie </w:t>
      </w:r>
      <w:r w:rsidRPr="008E17C8">
        <w:rPr>
          <w:rFonts w:ascii="Times New Roman" w:hAnsi="Times New Roman" w:cs="Times New Roman"/>
          <w:color w:val="00B050"/>
          <w:szCs w:val="16"/>
        </w:rPr>
        <w:br/>
        <w:t>z mającymi zastosowanie standardami rachunkowości na podstawie załącznika V część 2 pkt 215 do rozporządzenia wykonawczego Komisji (UE) nr 680/2014.</w:t>
      </w:r>
    </w:p>
    <w:p w14:paraId="52F21EF6" w14:textId="77777777" w:rsidR="00D41C60" w:rsidRPr="008E17C8" w:rsidRDefault="00D41C60" w:rsidP="00D41C60">
      <w:pPr>
        <w:ind w:left="284"/>
        <w:jc w:val="both"/>
        <w:rPr>
          <w:rFonts w:ascii="Times New Roman" w:hAnsi="Times New Roman" w:cs="Times New Roman"/>
          <w:i/>
          <w:color w:val="00B050"/>
          <w:szCs w:val="16"/>
        </w:rPr>
      </w:pPr>
    </w:p>
    <w:p w14:paraId="2D9AA97F" w14:textId="77777777" w:rsidR="00D41C60" w:rsidRPr="008E17C8" w:rsidRDefault="00D41C60" w:rsidP="00D41C60">
      <w:pPr>
        <w:ind w:left="284"/>
        <w:jc w:val="both"/>
        <w:rPr>
          <w:rFonts w:ascii="Times New Roman" w:hAnsi="Times New Roman" w:cs="Times New Roman"/>
          <w:color w:val="00B050"/>
          <w:szCs w:val="16"/>
        </w:rPr>
      </w:pPr>
      <w:r w:rsidRPr="008E17C8">
        <w:rPr>
          <w:rFonts w:ascii="Times New Roman" w:hAnsi="Times New Roman" w:cs="Times New Roman"/>
          <w:i/>
          <w:color w:val="00B050"/>
          <w:szCs w:val="16"/>
        </w:rPr>
        <w:t>215. Ekspozycje, w odniesieniu do których uznaje się, że miało miejsce niewykonanie zobowiązania zgodnie z art. 178 CRR, oraz ekspozycje, w odniesieniu do których stwierdzono utratę wartości zgodnie z mającymi zastosowanie standardami rachunkowości, zawsze uznaje się za ekspozycje nieobsługiwane. Ekspozycje dotknięte utratą wartości to ekspozycje, które uznano za dotknięte utratą wartości ze względu na ryzyko kredytowe (faza 3), w tym zakupione lub utworzone aktywa dotknięte utratą wartości ze względu na ryzyko kredytowe. Ekspozycje znajdujące się w fazach utraty wartości innych niż faza 3 uznaje się za nieobsługiwane, jeżeli spełniają kryteria pozwalające uznać je za nieobsługiwane</w:t>
      </w:r>
      <w:r w:rsidRPr="008E17C8">
        <w:rPr>
          <w:rFonts w:ascii="Times New Roman" w:hAnsi="Times New Roman" w:cs="Times New Roman"/>
          <w:color w:val="00B050"/>
          <w:szCs w:val="16"/>
        </w:rPr>
        <w:t>.</w:t>
      </w:r>
    </w:p>
    <w:p w14:paraId="216536B8" w14:textId="77777777" w:rsidR="00D41C60" w:rsidRPr="008E17C8" w:rsidRDefault="00D41C60" w:rsidP="00D41C60">
      <w:pPr>
        <w:jc w:val="both"/>
        <w:rPr>
          <w:rFonts w:ascii="Times New Roman" w:hAnsi="Times New Roman" w:cs="Times New Roman"/>
          <w:b/>
          <w:szCs w:val="16"/>
        </w:rPr>
      </w:pPr>
    </w:p>
    <w:p w14:paraId="42F0F28E" w14:textId="77777777" w:rsidR="00D41C60" w:rsidRPr="008E17C8" w:rsidRDefault="00D41C60" w:rsidP="00D41C60">
      <w:pPr>
        <w:jc w:val="both"/>
        <w:rPr>
          <w:rFonts w:ascii="Times New Roman" w:hAnsi="Times New Roman" w:cs="Times New Roman"/>
          <w:color w:val="00B050"/>
          <w:szCs w:val="16"/>
        </w:rPr>
      </w:pPr>
      <w:r w:rsidRPr="008E17C8">
        <w:rPr>
          <w:rFonts w:ascii="Times New Roman" w:hAnsi="Times New Roman" w:cs="Times New Roman"/>
          <w:b/>
          <w:color w:val="00B050"/>
          <w:szCs w:val="16"/>
        </w:rPr>
        <w:t>Ekspozycje, których dotyczy niewykonanie zobowiązania</w:t>
      </w:r>
      <w:r w:rsidRPr="008E17C8">
        <w:rPr>
          <w:rFonts w:ascii="Times New Roman" w:hAnsi="Times New Roman" w:cs="Times New Roman"/>
          <w:color w:val="00B050"/>
          <w:szCs w:val="16"/>
        </w:rPr>
        <w:t>: ekspozycje restrukturyzowane sklasyfikowane również jako ekspozycje, których dotyczy niewykonanie zobowiązania, zgodnie z art. 178 CRR.</w:t>
      </w:r>
    </w:p>
    <w:p w14:paraId="309616E4" w14:textId="77777777" w:rsidR="00D41C60" w:rsidRPr="008E17C8" w:rsidRDefault="00D41C60" w:rsidP="00D41C60">
      <w:pPr>
        <w:jc w:val="both"/>
        <w:rPr>
          <w:rFonts w:ascii="Times New Roman" w:hAnsi="Times New Roman" w:cs="Times New Roman"/>
          <w:color w:val="00B050"/>
          <w:szCs w:val="16"/>
        </w:rPr>
      </w:pPr>
    </w:p>
    <w:p w14:paraId="08F8F27C"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Niewykonanie zobowiązania przez dłużnika art. 178 CRR</w:t>
      </w:r>
    </w:p>
    <w:p w14:paraId="517B47BA"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1.  Uznaje się, że niewykonanie zobowiązania przez określonego dłużnika ma miejsce w przypadku wystąpienia jednego lub obu z poniższych zdarzeń:</w:t>
      </w:r>
    </w:p>
    <w:p w14:paraId="017B8BC2"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a) instytucja stwierdzi, że istnieje małe prawdopodobieństwo wywiązania się w pełni przez dłużnika ze swoich zobowiązań kredytowych wobec instytucji, jednostki dominującej lub którejkolwiek z jej jednostek zależnych bez konieczności podejmowania przez instytucję działań takich jak realizacja zabezpieczenia;</w:t>
      </w:r>
    </w:p>
    <w:p w14:paraId="7BAD3524"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b) zwłoka w wykonaniu przez dłużnika wszelkich istotnych zobowiązań kredytowych wobec instytucji, jednostki dominującej lub którejkolwiek z jej jednostek zależnych przekracza 90 dni. Właściwe organy mogą zastąpić okres 90 dni okresem wynoszącym 180 dni w przypadku ekspozycji zabezpieczonych nieruchomościami mieszkalnymi lub nieruchomościami komercyjnymi MŚP należących do kategorii ekspozycji detalicznych, a także ekspozycji wobec podmiotów sektora publicznego. Okres wynoszący 180 dni nie ma zastosowania do celów art. 36 ust. 1 lit. m) ani art. 127.</w:t>
      </w:r>
    </w:p>
    <w:p w14:paraId="3EDC919A"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W przypadku ekspozycji detalicznych instytucje mogą stosować definicję niewykonania zobowiązania określoną w lit. a) i b) raczej na poziomie poszczególnych instrumentów kredytowych niż w stosunku do ogółu zobowiązań kredytobiorcy.</w:t>
      </w:r>
    </w:p>
    <w:p w14:paraId="2ECA9923"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2.  Do celów ust. 1 lit. b) zastosowanie mają następujące przepisy:</w:t>
      </w:r>
    </w:p>
    <w:p w14:paraId="2D61A58A"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a) w przypadku salda debetowego liczbę dni przeterminowania zobowiązania nalicza się od momentu przekroczenia przez dłużnika wyznaczonego limitu, wyznaczenia mu limitu niższego od wysokości niespłaconej kwoty lub wykorzystania salda debetowego bez zezwolenia, gdy wykorzystana kwota jest istotna;</w:t>
      </w:r>
    </w:p>
    <w:p w14:paraId="16186019"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b) do celów lit. a) wyznaczony limit obejmuje każdy ustalony przez instytucję limit kredytowy, o którym instytucja poinformowała dłużnika;</w:t>
      </w:r>
    </w:p>
    <w:p w14:paraId="402B6511"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c) w przypadku kart kredytowych liczbę dni przeterminowania zobowiązania liczy się od dnia, w którym upłynął termin płatności kwoty minimalnej;</w:t>
      </w:r>
    </w:p>
    <w:p w14:paraId="5BD109AD"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lastRenderedPageBreak/>
        <w:t>d) poziom istotności przeterminowanego zobowiązania kredytowego ocenia się względem progu ustanowionego przez właściwe organy. Próg ten odpowiada poziomowi ryzyka, który właściwe organy uznają za racjonalny;</w:t>
      </w:r>
    </w:p>
    <w:p w14:paraId="7D6D1D24"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e) instytucje posiadają udokumentowane zasady obliczania liczby dni przeterminowania, w szczególności w przypadkach rolowania instrumentów i przedłużenia terminu spłaty, zmian lub odroczenia spłaty, odnowienia oraz kompensowania istniejących rachunków.</w:t>
      </w:r>
    </w:p>
    <w:p w14:paraId="5E03F27A"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Zasady te stosowane są w sposób spójny na przestrzeni czasu i są zgodne z wewnętrznym procesem zarządzania ryzykiem oraz procesem decyzyjnym stosowanym przez daną instytucję.</w:t>
      </w:r>
    </w:p>
    <w:p w14:paraId="587A0AA9"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3.  Do celów ust. 1 lit. a) za elementy wskazujące na prawdopodobieństwo niedokonania płatności uznaje się następujące sytuacje:</w:t>
      </w:r>
    </w:p>
    <w:p w14:paraId="5CF7D527"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 xml:space="preserve">a) zaksięgowanie zobowiązania kredytowego według statusu </w:t>
      </w:r>
      <w:proofErr w:type="spellStart"/>
      <w:r w:rsidRPr="008E17C8">
        <w:rPr>
          <w:rFonts w:ascii="Times New Roman" w:hAnsi="Times New Roman" w:cs="Times New Roman"/>
          <w:i/>
          <w:color w:val="00B050"/>
          <w:szCs w:val="16"/>
        </w:rPr>
        <w:t>bezodsetkowego</w:t>
      </w:r>
      <w:proofErr w:type="spellEnd"/>
      <w:r w:rsidRPr="008E17C8">
        <w:rPr>
          <w:rFonts w:ascii="Times New Roman" w:hAnsi="Times New Roman" w:cs="Times New Roman"/>
          <w:i/>
          <w:color w:val="00B050"/>
          <w:szCs w:val="16"/>
        </w:rPr>
        <w:t xml:space="preserve"> przez instytucję;</w:t>
      </w:r>
    </w:p>
    <w:p w14:paraId="2AB91841"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b) uznanie przez instytucję określonej korekty kredytowej wynikającej z wyraźnego postrzeganego pogorszenia się jakości kredytowej po przyjęciu ekspozycji przez instytucję;</w:t>
      </w:r>
    </w:p>
    <w:p w14:paraId="19E43C59"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c) zbycie zobowiązania kredytowego przez instytucję ze znaczną stratą ekonomiczną;</w:t>
      </w:r>
    </w:p>
    <w:p w14:paraId="63EBE7CA"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d) wyrażenie przez instytucję zgody na przeprowadzenie awaryjnej restrukturyzacji zobowiązań kredytowych, jeżeli może to skutkować zmniejszeniem zobowiązań finansowych poprzez umorzenie istotnej części kwoty głównej, odsetek lub, w stosownych przypadkach, opłat lub też odroczenie ich spłaty lub zapłaty. W przypadku ekspozycji kapitałowych ocenianych według metody opartej na PD/LGD obejmuje to także awaryjną restrukturyzację samego udziału kapitałowego;</w:t>
      </w:r>
    </w:p>
    <w:p w14:paraId="6C2818D5"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e) złożenie przez instytucję wniosku o postawienie dłużnika w stan upadłości lub podobnego wniosku w odniesieniu do zobowiązań kredytowych dłużnika wobec instytucji, jednostki dominującej lub którejkolwiek z jej jednostek zależnych;</w:t>
      </w:r>
    </w:p>
    <w:p w14:paraId="594D8529"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f) wystąpienie przez dłużnika o ogłoszenie upadłości lub o przyznanie podobnej ochrony lub postawienie dłużnika w stan upadłości bądź przyznanie mu podobnej ochrony, jeżeli umożliwiłoby mu to uniknięcie lub opóźnienie spłaty zobowiązań kredytowych wobec instytucji, jednostki dominującej lub którejkolwiek z jej jednostek zależnych.</w:t>
      </w:r>
    </w:p>
    <w:p w14:paraId="0DFA5163"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4.  Instytucje stosujące dane zewnętrzne niezgodne z definicją niewykonania zobowiązania określoną w ust. 1 dokonują odpowiednich korekt w celu osiągnięcia jak największej zbieżności z definicją niewykonania zobowiązania.</w:t>
      </w:r>
    </w:p>
    <w:p w14:paraId="5710EE1F"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5.  Jeżeli instytucja uzna, że do ekspozycji cechującej się wcześniej niewykonaniem zobowiązania przestała mieć zastosowanie przesłanka niewykonania zobowiązania, instytucja klasyfikuje dłużnika lub instrument w taki sposób jak w przypadku ekspozycji cechującej się wykonaniem zobowiązania. Późniejsze wystąpienie okoliczności określonych w definicji niewykonania zobowiązania stanowiłoby kolejny przypadek niewykonania zobowiązania.</w:t>
      </w:r>
    </w:p>
    <w:p w14:paraId="3F8C0D14"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6.  EUNB opracowuje projekty regulacyjnych standardów technicznych w celu określenia warunków, zgodnie z którymi właściwy organ ustanawia wysokość progu, o którym mowa w ust. 2 lit. d).</w:t>
      </w:r>
    </w:p>
    <w:p w14:paraId="7ADE8EBB"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EUNB przedstawi Komisji powyższe projekty regulacyjnych standardów technicznych do dnia 31 grudnia 2014 r.</w:t>
      </w:r>
    </w:p>
    <w:p w14:paraId="47168D4D"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Komisja jest uprawniona do przyjmowania regulacyjnych standardów technicznych, o których mowa w akapicie pierwszym, zgodnie z art. 10–14 rozporządzenia (UE) nr 1093/2010.</w:t>
      </w:r>
    </w:p>
    <w:p w14:paraId="47379611" w14:textId="77777777" w:rsidR="00D41C60" w:rsidRPr="008E17C8" w:rsidRDefault="00D41C60" w:rsidP="00D41C60">
      <w:pPr>
        <w:ind w:left="284"/>
        <w:jc w:val="both"/>
        <w:rPr>
          <w:rFonts w:ascii="Times New Roman" w:hAnsi="Times New Roman" w:cs="Times New Roman"/>
          <w:szCs w:val="16"/>
        </w:rPr>
      </w:pPr>
      <w:r w:rsidRPr="008E17C8">
        <w:rPr>
          <w:rFonts w:ascii="Times New Roman" w:hAnsi="Times New Roman" w:cs="Times New Roman"/>
          <w:i/>
          <w:color w:val="00B050"/>
          <w:szCs w:val="16"/>
        </w:rPr>
        <w:t>7.  EUNB wydaje wytyczne w sprawie stosowania przepisów niniejszego artykułu. Wytyczne te przyjmuje się zgodnie z art. 16 rozporządzenia (UE) nr 1093/2010.</w:t>
      </w:r>
    </w:p>
    <w:p w14:paraId="3A84F4E0" w14:textId="77777777" w:rsidR="00D41C60" w:rsidRPr="008E17C8" w:rsidRDefault="00D41C60" w:rsidP="00D41C60">
      <w:pPr>
        <w:jc w:val="both"/>
        <w:rPr>
          <w:rFonts w:ascii="Times New Roman" w:hAnsi="Times New Roman" w:cs="Times New Roman"/>
          <w:szCs w:val="16"/>
        </w:rPr>
      </w:pPr>
    </w:p>
    <w:p w14:paraId="19B30208" w14:textId="77777777" w:rsidR="00D41C60" w:rsidRPr="008E17C8" w:rsidRDefault="00D41C60" w:rsidP="00D41C60">
      <w:pPr>
        <w:jc w:val="both"/>
        <w:rPr>
          <w:rFonts w:ascii="Times New Roman" w:hAnsi="Times New Roman" w:cs="Times New Roman"/>
          <w:color w:val="00B050"/>
          <w:szCs w:val="16"/>
        </w:rPr>
      </w:pPr>
      <w:r w:rsidRPr="008E17C8">
        <w:rPr>
          <w:rFonts w:ascii="Times New Roman" w:hAnsi="Times New Roman" w:cs="Times New Roman"/>
          <w:b/>
          <w:color w:val="00B050"/>
          <w:szCs w:val="16"/>
        </w:rPr>
        <w:t>Skumulowana utrata wartości, skumulowane ujemne zmiany wartości godziwej z tytułu ryzyka kredytowego i rezerw</w:t>
      </w:r>
      <w:r w:rsidRPr="008E17C8">
        <w:rPr>
          <w:rFonts w:ascii="Times New Roman" w:hAnsi="Times New Roman" w:cs="Times New Roman"/>
          <w:color w:val="00B050"/>
          <w:szCs w:val="16"/>
        </w:rPr>
        <w:t>: należy tu uwzględniać kwoty naliczone zgodnie z załącznikiem V część 2 pkt 11, 69–71, do rozporządzenia wykonawczego Komisji (UE) nr 680/2014.</w:t>
      </w:r>
    </w:p>
    <w:p w14:paraId="0361996B" w14:textId="77777777" w:rsidR="00D41C60" w:rsidRPr="008E17C8" w:rsidRDefault="00D41C60" w:rsidP="00D41C60">
      <w:pPr>
        <w:ind w:left="284"/>
        <w:jc w:val="both"/>
        <w:rPr>
          <w:rFonts w:ascii="Times New Roman" w:hAnsi="Times New Roman" w:cs="Times New Roman"/>
          <w:i/>
          <w:color w:val="00B050"/>
          <w:szCs w:val="16"/>
        </w:rPr>
      </w:pPr>
    </w:p>
    <w:p w14:paraId="52474D4D"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69. „skumulowane ujemne zmiany wartości godziwej wynikające z ryzyka kredytowego” oznaczają – w odniesieniu do ekspozycji nieobsługiwanych – skumulowane zmiany wartości godziwej wynikające z ryzyka kredytowego, w przypadku gdy skumulowana zmiana netto ma wartość ujemną. Skumulowaną zmianę netto wartości godziwej wynikającą z ryzyka kredytowego oblicza się poprzez zsumowanie wszystkich ujemnych i dodatnich zmian wartości godziwej wynikających z ryzyka kredytowego, które miały miejsce od momentu ujęcia instrumentu dłużnego. Kwotę tę zgłasza się wyłącznie wówczas, gdy wynikiem zsumowania dodatnich i ujemnych zmian wartości godziwej z powodu ryzyka kredytowego jest wartość ujemna. Wycenę instrumentów dłużnych przeprowadza się na poziomie pojedynczych instrumentów finansowych. Dla każdego instrumentu dłużnego „Skumulowane ujemne zmiany wartości godziwej z powodu ryzyka kredytowego” zgłasza się, dopóki nie zaprzestano ujmowania danego instrumentu.</w:t>
      </w:r>
    </w:p>
    <w:p w14:paraId="146D5BFE"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70. „skumulowana utrata wartości” oznacza:</w:t>
      </w:r>
    </w:p>
    <w:p w14:paraId="426ECAA8"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a) w odniesieniu do instrumentów dłużnych wycenianych według kosztu zamortyzowanego lub według metody ceny nabycia – skumulowaną kwotę odpisów aktualizujących z tytułu utraty wartości – po odliczeniu wykorzystania i odwróceń, które ujęto – w stosownych przypadkach – w odniesieniu do każdej fazy utraty wartości. Skumulowana utrata wartości zmniejsza wartość bilansową instrumentu dłużnego poprzez zastosowanie konta odpisów z tytułu utraty wartości zgodnie z krajowymi ogólnie przyjętymi zasadami rachunkowości  lub poprzez bezpośrednie redukcje, które nie stanowią zdarzenia prowadzącego do zaprzestania ujmowania zgodnie z krajowymi ogólnie przyjętymi zasadami rachunkowości .</w:t>
      </w:r>
    </w:p>
    <w:p w14:paraId="2F616F64"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b)(...)</w:t>
      </w:r>
    </w:p>
    <w:p w14:paraId="47FB196F"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c) w odniesieniu do instrumentów dłużnych wycenianych według wartości godziwej ustalanej metodą praw własności zgodnie z krajowymi ogólnie przyjętymi zasadami rachunkowości , podlegających utracie wartości – skumulowaną kwotę odpisów aktualizujących z tytułu utraty wartości, po odliczeniu wykorzystania i odwróceń, które ujęto. Zmniejszenia wartości bilansowej dokonuje się albo poprzez wykorzystanie konta odpisów z tytułu utraty wartości, albo poprzez bezpośrednie redukcje, które nie stanowią zdarzenia prowadzącego do zaprzestania ujmowania.</w:t>
      </w:r>
    </w:p>
    <w:p w14:paraId="070B8375"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71. Skumulowana utrata wartości obejmuje  indywidualne i ogólne odpisy z tytułu ryzyka kredytowego, jak również ogólne odpisy z tytułu ryzyka bankowego, jeżeli pomniejszają wartość bilansową instrumentów dłużnych. Skumulowana utrata obejmuje również spowodowane ryzykiem kredytowym korekty wartości aktywów finansowych na podstawie LOCOM.</w:t>
      </w:r>
    </w:p>
    <w:p w14:paraId="5FBEC198" w14:textId="77777777" w:rsidR="00D41C60" w:rsidRPr="008E17C8" w:rsidRDefault="00D41C60" w:rsidP="00D41C60">
      <w:pPr>
        <w:jc w:val="both"/>
        <w:rPr>
          <w:rFonts w:ascii="Times New Roman" w:hAnsi="Times New Roman" w:cs="Times New Roman"/>
          <w:b/>
          <w:szCs w:val="16"/>
        </w:rPr>
      </w:pPr>
    </w:p>
    <w:p w14:paraId="3415D6DC" w14:textId="77777777" w:rsidR="00D41C60" w:rsidRPr="008E17C8" w:rsidRDefault="00D41C60" w:rsidP="00D41C60">
      <w:pPr>
        <w:jc w:val="both"/>
        <w:rPr>
          <w:rFonts w:ascii="Times New Roman" w:hAnsi="Times New Roman" w:cs="Times New Roman"/>
          <w:color w:val="00B050"/>
          <w:szCs w:val="16"/>
        </w:rPr>
      </w:pPr>
      <w:r w:rsidRPr="008E17C8">
        <w:rPr>
          <w:rFonts w:ascii="Times New Roman" w:hAnsi="Times New Roman" w:cs="Times New Roman"/>
          <w:b/>
          <w:color w:val="00B050"/>
          <w:szCs w:val="16"/>
        </w:rPr>
        <w:t>Zabezpieczenie i gwarancje otrzymane z powodu ekspozycji restrukturyzowanych</w:t>
      </w:r>
      <w:r w:rsidRPr="008E17C8">
        <w:rPr>
          <w:rFonts w:ascii="Times New Roman" w:hAnsi="Times New Roman" w:cs="Times New Roman"/>
          <w:color w:val="00B050"/>
          <w:szCs w:val="16"/>
        </w:rPr>
        <w:t>: należy je zgłaszać w odniesieniu do wszystkich ekspozycji, wobec których zastosowano działania restrukturyzacyjne, niezależnie od ich sklasyfikowania jako obsługiwanych czy nieobsługiwanych. Kwoty zgłaszane z tytułu otrzymanego zabezpieczenia i otrzymanych gwarancji należy obliczyć zgodnie z załącznikiem V część 2 pkt 239 do rozporządzenia wykonawczego Komisji (UE) nr 680/2014. Suma kwot zgłaszanych z tytułu zabezpieczenia i gwarancji łącznie nie może przekraczać wartości bilansowej ekspozycji, z którą są związane.</w:t>
      </w:r>
    </w:p>
    <w:p w14:paraId="44E08C50" w14:textId="77777777" w:rsidR="00D41C60" w:rsidRPr="008E17C8" w:rsidRDefault="00D41C60" w:rsidP="00D41C60">
      <w:pPr>
        <w:jc w:val="both"/>
        <w:rPr>
          <w:rFonts w:ascii="Times New Roman" w:hAnsi="Times New Roman" w:cs="Times New Roman"/>
          <w:color w:val="00B050"/>
          <w:szCs w:val="16"/>
        </w:rPr>
      </w:pPr>
    </w:p>
    <w:p w14:paraId="7573C375"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lastRenderedPageBreak/>
        <w:t>239. Odrębnie zgłasza się informacje o zabezpieczeniach posiadanych i gwarancjach otrzymanych w związku z ekspozycjami nieobsługiwanymi. Kwoty zgłaszane w odniesieniu do otrzymanych zabezpieczeń i otrzymanych gwarancji oblicza się zgodnie z pkt 172 i 174 niniejszej części. Suma kwot zgłoszonych w odniesieniu do zabezpieczeń i gwarancji razem jest ograniczona do wartości bilansowej lub kwoty nominalnej ekspozycji powiązanej.</w:t>
      </w:r>
    </w:p>
    <w:p w14:paraId="751E5D02"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172. We wzorze 13.1 zgłasza się „maksymalną uznawalną kwotę zabezpieczenia lub gwarancji”. Suma kwot gwarancji finansowej lub zabezpieczenia przedstawiona w powiązanych kolumnach wzoru 13.1 nie może przekraczać wartości bilansowej powiązanego kredytu.</w:t>
      </w:r>
    </w:p>
    <w:p w14:paraId="28E2F928"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174. W przypadku kredytów i zaliczek zabezpieczonych jednocześnie więcej niż jednym rodzajem zabezpieczenia lub gwarancji kwotę „Maksymalnego uznawalnego zabezpieczenia/gwarancji” przypisuje się zgodnie z jakością takiego zabezpieczenia lub gwarancji, począwszy od tych o najwyższej jakości. W odniesieniu do kredytów zabezpieczonych nieruchomościami zabezpieczenie w formie nieruchomości zawsze zgłasza się w pierwszej kolejności niezależnie od jego jakości w porównaniu z innymi zabezpieczeniami. W przypadku gdy kwota z pozycji „Maksymalne uznawalne zabezpieczenie/gwarancja” przekracza wartość zabezpieczenia w formie nieruchomości, nadwyżkę tej kwoty przypisuje się do innych rodzajów zabezpieczeń i gwarancji według ich jakości, począwszy od tych najwyższej jakości.</w:t>
      </w:r>
    </w:p>
    <w:p w14:paraId="267D4EDF" w14:textId="77777777" w:rsidR="00D41C60" w:rsidRPr="008E17C8" w:rsidRDefault="00D41C60" w:rsidP="00D41C60">
      <w:pPr>
        <w:ind w:left="284"/>
        <w:jc w:val="both"/>
        <w:rPr>
          <w:rFonts w:ascii="Times New Roman" w:hAnsi="Times New Roman" w:cs="Times New Roman"/>
          <w:i/>
          <w:color w:val="00B050"/>
          <w:szCs w:val="16"/>
        </w:rPr>
      </w:pPr>
    </w:p>
    <w:p w14:paraId="30478499" w14:textId="77777777" w:rsidR="00D41C60" w:rsidRPr="008E17C8" w:rsidRDefault="00D41C60" w:rsidP="00D41C60">
      <w:pPr>
        <w:jc w:val="both"/>
        <w:rPr>
          <w:rFonts w:ascii="Times New Roman" w:hAnsi="Times New Roman" w:cs="Times New Roman"/>
          <w:color w:val="00B050"/>
          <w:szCs w:val="16"/>
        </w:rPr>
      </w:pPr>
      <w:r w:rsidRPr="008E17C8">
        <w:rPr>
          <w:rFonts w:ascii="Times New Roman" w:hAnsi="Times New Roman" w:cs="Times New Roman"/>
          <w:b/>
          <w:color w:val="00B050"/>
          <w:szCs w:val="16"/>
        </w:rPr>
        <w:t>Ekspozycje nieobsługiwane, wobec których zastosowano środki restrukturyzacyjne</w:t>
      </w:r>
      <w:r w:rsidRPr="008E17C8">
        <w:rPr>
          <w:rFonts w:ascii="Times New Roman" w:hAnsi="Times New Roman" w:cs="Times New Roman"/>
          <w:color w:val="00B050"/>
          <w:szCs w:val="16"/>
        </w:rPr>
        <w:t>: te ekspozycje (nieobsługiwane ekspozycje restrukturyzowane) powinny obejmować ekspozycje restrukturyzowane, które spełniają kryteria uznania za nieobsługiwane i są ujęte w kategorii ekspozycji nieobsługiwanych. W tych nieobsługiwanych ekspozycjach restrukturyzowanych należy uwzględniać: a) ekspozycje, które stały się nieobsługiwane wskutek zastosowania działań restrukturyzacyjnych; b) ekspozycje, które były nieobsługiwane przed rozszerzeniem zakresu działań restrukturyzacyjnych; c) ekspozycje restrukturyzowane, które zostały przeniesione z kategorii obsługiwanych, w tym ekspozycje przeklasyfikowane zgodnie z załącznikiem V część 2 pkt 260 do rozporządzenia wykonawczego Komisji (UE) nr 680/2014.</w:t>
      </w:r>
    </w:p>
    <w:p w14:paraId="42B6B547" w14:textId="77777777" w:rsidR="00D41C60" w:rsidRPr="008E17C8" w:rsidRDefault="00D41C60" w:rsidP="00D41C60">
      <w:pPr>
        <w:jc w:val="both"/>
        <w:rPr>
          <w:rFonts w:ascii="Times New Roman" w:hAnsi="Times New Roman" w:cs="Times New Roman"/>
          <w:color w:val="00B050"/>
          <w:szCs w:val="16"/>
        </w:rPr>
      </w:pPr>
    </w:p>
    <w:p w14:paraId="76553A82"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260. Jeżeli dodatkowe działania restrukturyzacyjne są podejmowane w odniesieniu do obsługiwanej ekspozycji restrukturyzowanej w okresie warunkowym, która została usunięta z kategorii nieobsługiwanych, lub ekspozycja ulega przeterminowaniu o ponad 30 dni, klasyfikuje się ją jako nieobsługiwaną.</w:t>
      </w:r>
    </w:p>
    <w:p w14:paraId="3EB285A3" w14:textId="77777777" w:rsidR="00D41C60" w:rsidRPr="008E17C8" w:rsidRDefault="00D41C60" w:rsidP="00D41C60">
      <w:pPr>
        <w:jc w:val="both"/>
        <w:rPr>
          <w:rFonts w:ascii="Times New Roman" w:hAnsi="Times New Roman" w:cs="Times New Roman"/>
          <w:b/>
          <w:color w:val="00B050"/>
          <w:szCs w:val="16"/>
          <w:u w:val="single"/>
        </w:rPr>
      </w:pPr>
    </w:p>
    <w:p w14:paraId="61BD9428" w14:textId="77777777" w:rsidR="00D41C60" w:rsidRPr="008E17C8" w:rsidRDefault="00D41C60" w:rsidP="00D41C60">
      <w:pPr>
        <w:jc w:val="both"/>
        <w:rPr>
          <w:rFonts w:ascii="Times New Roman" w:hAnsi="Times New Roman" w:cs="Times New Roman"/>
          <w:b/>
          <w:color w:val="00B050"/>
          <w:szCs w:val="16"/>
          <w:u w:val="single"/>
        </w:rPr>
      </w:pPr>
      <w:r w:rsidRPr="008E17C8">
        <w:rPr>
          <w:rFonts w:ascii="Times New Roman" w:hAnsi="Times New Roman" w:cs="Times New Roman"/>
          <w:b/>
          <w:color w:val="00B050"/>
          <w:szCs w:val="16"/>
          <w:u w:val="single"/>
        </w:rPr>
        <w:t>Wiersze:</w:t>
      </w:r>
    </w:p>
    <w:p w14:paraId="40E9A97C" w14:textId="77777777" w:rsidR="00D41C60" w:rsidRPr="008E17C8" w:rsidRDefault="00D41C60" w:rsidP="00D41C60">
      <w:pPr>
        <w:jc w:val="both"/>
        <w:rPr>
          <w:rFonts w:ascii="Times New Roman" w:hAnsi="Times New Roman" w:cs="Times New Roman"/>
          <w:color w:val="00B050"/>
          <w:szCs w:val="16"/>
        </w:rPr>
      </w:pPr>
    </w:p>
    <w:p w14:paraId="5F17C38D" w14:textId="77777777" w:rsidR="00D41C60" w:rsidRPr="008E17C8" w:rsidRDefault="00D41C60" w:rsidP="00D41C60">
      <w:pPr>
        <w:jc w:val="both"/>
        <w:rPr>
          <w:rFonts w:ascii="Times New Roman" w:hAnsi="Times New Roman" w:cs="Times New Roman"/>
          <w:color w:val="00B050"/>
          <w:szCs w:val="16"/>
        </w:rPr>
      </w:pPr>
      <w:r w:rsidRPr="008E17C8">
        <w:rPr>
          <w:rFonts w:ascii="Times New Roman" w:hAnsi="Times New Roman" w:cs="Times New Roman"/>
          <w:b/>
          <w:color w:val="00B050"/>
          <w:szCs w:val="16"/>
        </w:rPr>
        <w:t>Podział według kontrahentów</w:t>
      </w:r>
      <w:r w:rsidRPr="008E17C8">
        <w:rPr>
          <w:rFonts w:ascii="Times New Roman" w:hAnsi="Times New Roman" w:cs="Times New Roman"/>
          <w:color w:val="00B050"/>
          <w:szCs w:val="16"/>
        </w:rPr>
        <w:t>: instytucje powinny stosować podział według kontrahentów zgodnie z definicją podaną w załączniku V część 1 pkt 42 do rozporządzenia wykonawczego Komisji (UE) nr 680/2014.</w:t>
      </w:r>
    </w:p>
    <w:p w14:paraId="2DB5D955" w14:textId="77777777" w:rsidR="00D41C60" w:rsidRPr="008E17C8" w:rsidRDefault="00D41C60" w:rsidP="00D41C60">
      <w:pPr>
        <w:ind w:left="284"/>
        <w:jc w:val="both"/>
        <w:rPr>
          <w:rFonts w:ascii="Times New Roman" w:hAnsi="Times New Roman" w:cs="Times New Roman"/>
          <w:i/>
          <w:color w:val="00B050"/>
          <w:szCs w:val="16"/>
        </w:rPr>
      </w:pPr>
    </w:p>
    <w:p w14:paraId="345F54F1"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42. W przypadku gdy wymagany jest podział według kontrahentów, stosuje się następujące sektory kontrahentów:</w:t>
      </w:r>
    </w:p>
    <w:p w14:paraId="484A6AD5"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a) banki centralne;</w:t>
      </w:r>
    </w:p>
    <w:p w14:paraId="69F13994"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 xml:space="preserve">b) sektor instytucji rządowych i samorządowych: rządy centralne, krajowe lub regionalne i samorządy lokalne, w tym organy administracyjne i jednostki niekomercyjne, z wyjątkiem posiadanych przez te organy administracyjne spółek publicznych i prywatnych prowadzących działalność </w:t>
      </w:r>
      <w:r w:rsidRPr="008E17C8">
        <w:rPr>
          <w:rFonts w:ascii="Times New Roman" w:hAnsi="Times New Roman" w:cs="Times New Roman"/>
          <w:i/>
          <w:color w:val="00B050"/>
          <w:szCs w:val="16"/>
        </w:rPr>
        <w:lastRenderedPageBreak/>
        <w:t>komercyjną (które należy zgłaszać w pozycji „instytucje kredytowe”, „inne instytucje finansowe” lub „przedsiębiorstwa niefinansowe” w zależności od prowadzonej przez nie działalności); fundusze zabezpieczenia społecznego; oraz organizacje międzynarodowe, takie jak instytucje Unii Europejskiej, Międzynarodowy Fundusz Walutowy oraz Bank Rozrachunków Międzynarodowych;</w:t>
      </w:r>
    </w:p>
    <w:p w14:paraId="663AD88D"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c) instytucje kredytowe: instytucje objęte definicją określoną w art. 4 ust. 1 pkt 1 CRR („przedsiębiorstwo, którego działalność polega na przyjmowaniu depozytów pieniężnych lub innych funduszy podlegających zwrotowi od klientów oraz na udzielaniu kredytów na swój własny rachunek”) i wielostronne banki rozwoju;</w:t>
      </w:r>
    </w:p>
    <w:p w14:paraId="7A9287BD"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d) inne instytucje finansowe: wszystkie instytucje finansowe i jednostki typu przedsiębiorstwo inne niż instytucje kredytowe, takie jak firmy inwestycyjne, fundusze inwestycyjne, zakłady ubezpieczeń, fundusze emerytalne, przedsiębiorstwa zbiorowego inwestowania oraz izby rozliczeniowe, jak również pozostali pośrednicy finansowi, pomocnicze instytucje finansowe i instytucje finansowe typu „</w:t>
      </w:r>
      <w:proofErr w:type="spellStart"/>
      <w:r w:rsidRPr="008E17C8">
        <w:rPr>
          <w:rFonts w:ascii="Times New Roman" w:hAnsi="Times New Roman" w:cs="Times New Roman"/>
          <w:i/>
          <w:color w:val="00B050"/>
          <w:szCs w:val="16"/>
        </w:rPr>
        <w:t>captive</w:t>
      </w:r>
      <w:proofErr w:type="spellEnd"/>
      <w:r w:rsidRPr="008E17C8">
        <w:rPr>
          <w:rFonts w:ascii="Times New Roman" w:hAnsi="Times New Roman" w:cs="Times New Roman"/>
          <w:i/>
          <w:color w:val="00B050"/>
          <w:szCs w:val="16"/>
        </w:rPr>
        <w:t>” oraz instytucje udzielające pożyczek;</w:t>
      </w:r>
    </w:p>
    <w:p w14:paraId="626E5ACA"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e) przedsiębiorstwa niefinansowe: przedsiębiorstwa i jednostki typu przedsiębiorstwo niezaangażowane w pośrednictwo finansowe, których podstawową działalnością jest produkcja wyrobów rynkowych i usług niefinansowych zgodnie z rozporządzeniem EBC w sprawie pozycji bilansowych;</w:t>
      </w:r>
    </w:p>
    <w:p w14:paraId="3E9DDE69"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f) gospodarstwa domowe: osoby fizyczne lub grupy osób fizycznych będące konsumentami lub będące producentami wyrobów i usług niefinansowych wyłącznie na użytek własny lub będące producentami wyrobów rynkowych oraz usług niefinansowych i finansowych, pod warunkiem że ich działalność nie jest tożsama z działalnością jednostek typu przedsiębiorstwo. Do tej kategorii zalicza się instytucje niekomercyjne obsługujące gospodarstwa domowe i zajmujące się głównie wytwarzaniem towarów i usług nierynkowych przeznaczonych dla konkretnych grup gospodarstw domowych.</w:t>
      </w:r>
    </w:p>
    <w:p w14:paraId="496A329E" w14:textId="77777777" w:rsidR="00D41C60" w:rsidRPr="008E17C8" w:rsidRDefault="00D41C60" w:rsidP="00D41C60">
      <w:pPr>
        <w:jc w:val="both"/>
        <w:rPr>
          <w:rFonts w:ascii="Times New Roman" w:hAnsi="Times New Roman" w:cs="Times New Roman"/>
          <w:color w:val="00B050"/>
          <w:szCs w:val="16"/>
        </w:rPr>
      </w:pPr>
    </w:p>
    <w:p w14:paraId="0A24B463" w14:textId="77777777" w:rsidR="00D41C60" w:rsidRPr="008E17C8" w:rsidRDefault="00D41C60" w:rsidP="00D41C60">
      <w:pPr>
        <w:jc w:val="both"/>
        <w:rPr>
          <w:rFonts w:ascii="Times New Roman" w:hAnsi="Times New Roman" w:cs="Times New Roman"/>
          <w:i/>
          <w:color w:val="00B050"/>
          <w:szCs w:val="16"/>
        </w:rPr>
      </w:pPr>
      <w:r w:rsidRPr="008E17C8">
        <w:rPr>
          <w:rFonts w:ascii="Times New Roman" w:hAnsi="Times New Roman" w:cs="Times New Roman"/>
          <w:color w:val="00B050"/>
          <w:szCs w:val="16"/>
        </w:rPr>
        <w:t>Podstawą przypisania sektora kontrahentowi powinien być wyłącznie charakter kontrahenta bezpośredniego. Klasyfikacji ekspozycji ponoszonych wspólnie przez więcej niż jednego dłużnika należy dokonywać na podstawie charakterystyki dłużnika, który miał większe lub decydujące znaczenie, gdy instytucja decydowała o udzieleniu ekspozycji. Spośród innych klasyfikacji podział wspólnie utworzonych ekspozycji według sektora kontrahentów, kraju siedziby i kodów NACE powinien opierać się na cechach tego dłużnika, który ma większe lub decydujące znaczenie</w:t>
      </w:r>
      <w:r w:rsidRPr="008E17C8">
        <w:rPr>
          <w:rFonts w:ascii="Times New Roman" w:hAnsi="Times New Roman" w:cs="Times New Roman"/>
          <w:i/>
          <w:color w:val="00B050"/>
          <w:szCs w:val="16"/>
        </w:rPr>
        <w:t>.</w:t>
      </w:r>
    </w:p>
    <w:p w14:paraId="3D28FD67" w14:textId="77777777" w:rsidR="00D41C60" w:rsidRPr="008E17C8" w:rsidRDefault="00D41C60" w:rsidP="00D41C60">
      <w:pPr>
        <w:jc w:val="both"/>
        <w:rPr>
          <w:rFonts w:ascii="Times New Roman" w:hAnsi="Times New Roman" w:cs="Times New Roman"/>
          <w:i/>
          <w:color w:val="00B050"/>
          <w:szCs w:val="16"/>
        </w:rPr>
      </w:pPr>
    </w:p>
    <w:p w14:paraId="688E1E2D" w14:textId="77777777" w:rsidR="00D41C60" w:rsidRPr="008E17C8" w:rsidRDefault="00D41C60" w:rsidP="00D41C60">
      <w:pPr>
        <w:rPr>
          <w:rFonts w:ascii="Times New Roman" w:hAnsi="Times New Roman" w:cs="Times New Roman"/>
          <w:b/>
          <w:szCs w:val="16"/>
          <w:u w:val="single"/>
        </w:rPr>
      </w:pPr>
      <w:r w:rsidRPr="008E17C8">
        <w:rPr>
          <w:rFonts w:ascii="Times New Roman" w:hAnsi="Times New Roman" w:cs="Times New Roman"/>
          <w:b/>
          <w:szCs w:val="16"/>
          <w:u w:val="single"/>
        </w:rPr>
        <w:br w:type="page"/>
      </w:r>
    </w:p>
    <w:p w14:paraId="2F28824F" w14:textId="77777777" w:rsidR="00D41C60" w:rsidRPr="008E17C8" w:rsidRDefault="00D41C60" w:rsidP="00D41C60">
      <w:pPr>
        <w:jc w:val="both"/>
        <w:rPr>
          <w:rFonts w:ascii="Times New Roman" w:hAnsi="Times New Roman" w:cs="Times New Roman"/>
          <w:b/>
          <w:szCs w:val="16"/>
          <w:u w:val="single"/>
        </w:rPr>
      </w:pPr>
      <w:r w:rsidRPr="008E17C8">
        <w:rPr>
          <w:rFonts w:ascii="Times New Roman" w:hAnsi="Times New Roman" w:cs="Times New Roman"/>
          <w:b/>
          <w:szCs w:val="16"/>
          <w:u w:val="single"/>
        </w:rPr>
        <w:lastRenderedPageBreak/>
        <w:t>Tabela 2: Jakość kredytowa ekspozycji obsługiwanych i nieobsługiwanych w podziale według liczby dni przeterminowania</w:t>
      </w:r>
    </w:p>
    <w:p w14:paraId="401BE1FF" w14:textId="77777777" w:rsidR="00D41C60" w:rsidRPr="008E17C8" w:rsidRDefault="00D41C60" w:rsidP="00D41C60">
      <w:pPr>
        <w:jc w:val="both"/>
        <w:rPr>
          <w:rFonts w:ascii="Times New Roman" w:hAnsi="Times New Roman" w:cs="Times New Roman"/>
          <w:szCs w:val="16"/>
        </w:rPr>
      </w:pPr>
    </w:p>
    <w:p w14:paraId="08B9D08D" w14:textId="77777777" w:rsidR="00D41C60" w:rsidRPr="008E17C8" w:rsidRDefault="00D41C60" w:rsidP="00D41C60">
      <w:pPr>
        <w:jc w:val="both"/>
        <w:rPr>
          <w:rFonts w:ascii="Times New Roman" w:hAnsi="Times New Roman" w:cs="Times New Roman"/>
          <w:szCs w:val="16"/>
        </w:rPr>
      </w:pPr>
      <w:r w:rsidRPr="008E17C8">
        <w:rPr>
          <w:rFonts w:ascii="Times New Roman" w:hAnsi="Times New Roman" w:cs="Times New Roman"/>
          <w:b/>
          <w:szCs w:val="16"/>
        </w:rPr>
        <w:t>Częstotliwość raportowania</w:t>
      </w:r>
      <w:r w:rsidRPr="008E17C8">
        <w:rPr>
          <w:rFonts w:ascii="Times New Roman" w:hAnsi="Times New Roman" w:cs="Times New Roman"/>
          <w:szCs w:val="16"/>
        </w:rPr>
        <w:t>: raz w roku</w:t>
      </w:r>
    </w:p>
    <w:p w14:paraId="5B826DB0" w14:textId="77777777" w:rsidR="00D41C60" w:rsidRPr="008E17C8" w:rsidRDefault="00D41C60" w:rsidP="00D41C60">
      <w:pPr>
        <w:jc w:val="both"/>
        <w:rPr>
          <w:rFonts w:ascii="Times New Roman" w:hAnsi="Times New Roman" w:cs="Times New Roman"/>
          <w:szCs w:val="16"/>
        </w:rPr>
      </w:pPr>
    </w:p>
    <w:p w14:paraId="35B6E92E" w14:textId="77777777" w:rsidR="00D41C60" w:rsidRPr="008E17C8" w:rsidRDefault="00D41C60" w:rsidP="00D41C60">
      <w:pPr>
        <w:jc w:val="both"/>
        <w:rPr>
          <w:rFonts w:ascii="Times New Roman" w:hAnsi="Times New Roman" w:cs="Times New Roman"/>
          <w:szCs w:val="16"/>
        </w:rPr>
      </w:pPr>
      <w:r w:rsidRPr="008E17C8">
        <w:rPr>
          <w:rFonts w:ascii="Times New Roman" w:hAnsi="Times New Roman" w:cs="Times New Roman"/>
          <w:szCs w:val="16"/>
        </w:rPr>
        <w:t xml:space="preserve">Banki powinny wyjaśnić czynniki powodujące wszelkie istotne zmiany kwot w stosunku do poprzedniego okresu objętego ujawnieniem. Banki powinny ujawniać wskaźnik NPL brutto obliczony następująco: wielkość z kolumny "d" wiersz "1" dzieli się przez sumę wielkości w kolumnie "d" wiersz "1" oraz w kolumnie "a" wiersz "1".  </w:t>
      </w:r>
    </w:p>
    <w:p w14:paraId="451C674C" w14:textId="77777777" w:rsidR="00D41C60" w:rsidRPr="008E17C8" w:rsidRDefault="00D41C60" w:rsidP="00D41C60">
      <w:pPr>
        <w:jc w:val="both"/>
        <w:rPr>
          <w:rFonts w:ascii="Times New Roman" w:hAnsi="Times New Roman" w:cs="Times New Roman"/>
          <w:szCs w:val="1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7"/>
        <w:gridCol w:w="1093"/>
        <w:gridCol w:w="595"/>
        <w:gridCol w:w="812"/>
        <w:gridCol w:w="661"/>
        <w:gridCol w:w="1267"/>
        <w:gridCol w:w="565"/>
        <w:gridCol w:w="1253"/>
        <w:gridCol w:w="156"/>
        <w:gridCol w:w="847"/>
        <w:gridCol w:w="995"/>
        <w:gridCol w:w="987"/>
        <w:gridCol w:w="988"/>
        <w:gridCol w:w="987"/>
        <w:gridCol w:w="987"/>
        <w:gridCol w:w="1419"/>
      </w:tblGrid>
      <w:tr w:rsidR="00B06E6D" w:rsidRPr="008E17C8" w14:paraId="751403C4" w14:textId="77777777" w:rsidTr="00B06E6D">
        <w:tc>
          <w:tcPr>
            <w:tcW w:w="1519" w:type="dxa"/>
            <w:gridSpan w:val="2"/>
            <w:vMerge w:val="restart"/>
          </w:tcPr>
          <w:p w14:paraId="6DB3A36D" w14:textId="77777777" w:rsidR="00D41C60" w:rsidRPr="008E17C8" w:rsidRDefault="00D41C60" w:rsidP="00B06E6D">
            <w:pPr>
              <w:jc w:val="both"/>
              <w:rPr>
                <w:rFonts w:ascii="Times New Roman" w:hAnsi="Times New Roman" w:cs="Times New Roman"/>
                <w:sz w:val="20"/>
                <w:szCs w:val="20"/>
              </w:rPr>
            </w:pPr>
          </w:p>
        </w:tc>
        <w:tc>
          <w:tcPr>
            <w:tcW w:w="597" w:type="dxa"/>
          </w:tcPr>
          <w:p w14:paraId="1F917E1E"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a</w:t>
            </w:r>
          </w:p>
        </w:tc>
        <w:tc>
          <w:tcPr>
            <w:tcW w:w="1482" w:type="dxa"/>
            <w:gridSpan w:val="2"/>
          </w:tcPr>
          <w:p w14:paraId="2B9FFF92"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b</w:t>
            </w:r>
          </w:p>
        </w:tc>
        <w:tc>
          <w:tcPr>
            <w:tcW w:w="1208" w:type="dxa"/>
          </w:tcPr>
          <w:p w14:paraId="341C4022"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c</w:t>
            </w:r>
          </w:p>
        </w:tc>
        <w:tc>
          <w:tcPr>
            <w:tcW w:w="567" w:type="dxa"/>
          </w:tcPr>
          <w:p w14:paraId="3AD525C1"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d</w:t>
            </w:r>
          </w:p>
        </w:tc>
        <w:tc>
          <w:tcPr>
            <w:tcW w:w="1417" w:type="dxa"/>
            <w:gridSpan w:val="2"/>
          </w:tcPr>
          <w:p w14:paraId="1E1628F1"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e</w:t>
            </w:r>
          </w:p>
        </w:tc>
        <w:tc>
          <w:tcPr>
            <w:tcW w:w="851" w:type="dxa"/>
          </w:tcPr>
          <w:p w14:paraId="532D787F"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f</w:t>
            </w:r>
          </w:p>
        </w:tc>
        <w:tc>
          <w:tcPr>
            <w:tcW w:w="992" w:type="dxa"/>
          </w:tcPr>
          <w:p w14:paraId="12747CE7"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g</w:t>
            </w:r>
          </w:p>
        </w:tc>
        <w:tc>
          <w:tcPr>
            <w:tcW w:w="992" w:type="dxa"/>
          </w:tcPr>
          <w:p w14:paraId="19E85873"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h</w:t>
            </w:r>
          </w:p>
        </w:tc>
        <w:tc>
          <w:tcPr>
            <w:tcW w:w="993" w:type="dxa"/>
          </w:tcPr>
          <w:p w14:paraId="019605E7"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i</w:t>
            </w:r>
          </w:p>
        </w:tc>
        <w:tc>
          <w:tcPr>
            <w:tcW w:w="992" w:type="dxa"/>
          </w:tcPr>
          <w:p w14:paraId="736D2563"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j</w:t>
            </w:r>
          </w:p>
        </w:tc>
        <w:tc>
          <w:tcPr>
            <w:tcW w:w="992" w:type="dxa"/>
          </w:tcPr>
          <w:p w14:paraId="3D404931"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k</w:t>
            </w:r>
          </w:p>
        </w:tc>
        <w:tc>
          <w:tcPr>
            <w:tcW w:w="1427" w:type="dxa"/>
          </w:tcPr>
          <w:p w14:paraId="6644B657"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l</w:t>
            </w:r>
          </w:p>
        </w:tc>
      </w:tr>
      <w:tr w:rsidR="00D41C60" w:rsidRPr="008E17C8" w14:paraId="153ED91A" w14:textId="77777777" w:rsidTr="00B06E6D">
        <w:tc>
          <w:tcPr>
            <w:tcW w:w="1519" w:type="dxa"/>
            <w:gridSpan w:val="2"/>
            <w:vMerge/>
          </w:tcPr>
          <w:p w14:paraId="1BE16014" w14:textId="77777777" w:rsidR="00D41C60" w:rsidRPr="008E17C8" w:rsidRDefault="00D41C60" w:rsidP="00B06E6D">
            <w:pPr>
              <w:jc w:val="both"/>
              <w:rPr>
                <w:rFonts w:ascii="Times New Roman" w:hAnsi="Times New Roman" w:cs="Times New Roman"/>
                <w:sz w:val="20"/>
                <w:szCs w:val="20"/>
              </w:rPr>
            </w:pPr>
          </w:p>
        </w:tc>
        <w:tc>
          <w:tcPr>
            <w:tcW w:w="1414" w:type="dxa"/>
            <w:gridSpan w:val="2"/>
          </w:tcPr>
          <w:p w14:paraId="302FAC12" w14:textId="77777777" w:rsidR="00D41C60" w:rsidRPr="008E17C8" w:rsidRDefault="00D41C60" w:rsidP="00B06E6D">
            <w:pPr>
              <w:jc w:val="center"/>
              <w:rPr>
                <w:rFonts w:ascii="Times New Roman" w:hAnsi="Times New Roman" w:cs="Times New Roman"/>
                <w:sz w:val="18"/>
                <w:szCs w:val="20"/>
              </w:rPr>
            </w:pPr>
          </w:p>
        </w:tc>
        <w:tc>
          <w:tcPr>
            <w:tcW w:w="11096" w:type="dxa"/>
            <w:gridSpan w:val="12"/>
          </w:tcPr>
          <w:p w14:paraId="2FE8E8FC"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Wartość bilansowa brutto/kwota nominalna</w:t>
            </w:r>
          </w:p>
        </w:tc>
      </w:tr>
      <w:tr w:rsidR="00B06E6D" w:rsidRPr="008E17C8" w14:paraId="63D22913" w14:textId="77777777" w:rsidTr="00B06E6D">
        <w:tc>
          <w:tcPr>
            <w:tcW w:w="1519" w:type="dxa"/>
            <w:gridSpan w:val="2"/>
            <w:vMerge/>
          </w:tcPr>
          <w:p w14:paraId="271B6DD9" w14:textId="77777777" w:rsidR="00D41C60" w:rsidRPr="008E17C8" w:rsidRDefault="00D41C60" w:rsidP="00B06E6D">
            <w:pPr>
              <w:jc w:val="both"/>
              <w:rPr>
                <w:rFonts w:ascii="Times New Roman" w:hAnsi="Times New Roman" w:cs="Times New Roman"/>
                <w:sz w:val="20"/>
                <w:szCs w:val="20"/>
              </w:rPr>
            </w:pPr>
          </w:p>
        </w:tc>
        <w:tc>
          <w:tcPr>
            <w:tcW w:w="3317" w:type="dxa"/>
            <w:gridSpan w:val="4"/>
          </w:tcPr>
          <w:p w14:paraId="6251E889"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Ekspozycje obsługiwane</w:t>
            </w:r>
          </w:p>
        </w:tc>
        <w:tc>
          <w:tcPr>
            <w:tcW w:w="1827" w:type="dxa"/>
            <w:gridSpan w:val="2"/>
          </w:tcPr>
          <w:p w14:paraId="7B52AD47" w14:textId="77777777" w:rsidR="00D41C60" w:rsidRPr="008E17C8" w:rsidRDefault="00D41C60" w:rsidP="00B06E6D">
            <w:pPr>
              <w:jc w:val="center"/>
              <w:rPr>
                <w:rFonts w:ascii="Times New Roman" w:hAnsi="Times New Roman" w:cs="Times New Roman"/>
                <w:sz w:val="18"/>
                <w:szCs w:val="20"/>
              </w:rPr>
            </w:pPr>
          </w:p>
        </w:tc>
        <w:tc>
          <w:tcPr>
            <w:tcW w:w="7366" w:type="dxa"/>
            <w:gridSpan w:val="8"/>
          </w:tcPr>
          <w:p w14:paraId="2DCE7102"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Ekspozycje nieobsługiwane</w:t>
            </w:r>
          </w:p>
        </w:tc>
      </w:tr>
      <w:tr w:rsidR="00B06E6D" w:rsidRPr="008E17C8" w14:paraId="7F758A0D" w14:textId="77777777" w:rsidTr="00B06E6D">
        <w:tc>
          <w:tcPr>
            <w:tcW w:w="1519" w:type="dxa"/>
            <w:gridSpan w:val="2"/>
            <w:vMerge/>
          </w:tcPr>
          <w:p w14:paraId="107EA575" w14:textId="77777777" w:rsidR="00D41C60" w:rsidRPr="008E17C8" w:rsidRDefault="00D41C60" w:rsidP="00B06E6D">
            <w:pPr>
              <w:jc w:val="both"/>
              <w:rPr>
                <w:rFonts w:ascii="Times New Roman" w:hAnsi="Times New Roman" w:cs="Times New Roman"/>
                <w:sz w:val="20"/>
                <w:szCs w:val="20"/>
              </w:rPr>
            </w:pPr>
          </w:p>
        </w:tc>
        <w:tc>
          <w:tcPr>
            <w:tcW w:w="597" w:type="dxa"/>
          </w:tcPr>
          <w:p w14:paraId="659E2E07" w14:textId="77777777" w:rsidR="00D41C60" w:rsidRPr="008E17C8" w:rsidRDefault="00D41C60" w:rsidP="00B06E6D">
            <w:pPr>
              <w:jc w:val="center"/>
              <w:rPr>
                <w:rFonts w:ascii="Times New Roman" w:hAnsi="Times New Roman" w:cs="Times New Roman"/>
                <w:sz w:val="18"/>
                <w:szCs w:val="20"/>
              </w:rPr>
            </w:pPr>
          </w:p>
        </w:tc>
        <w:tc>
          <w:tcPr>
            <w:tcW w:w="1446" w:type="dxa"/>
            <w:gridSpan w:val="2"/>
          </w:tcPr>
          <w:p w14:paraId="0058A90D"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Nieprzeterminowane lub przeterminowane ≤ 30 dni</w:t>
            </w:r>
          </w:p>
        </w:tc>
        <w:tc>
          <w:tcPr>
            <w:tcW w:w="1274" w:type="dxa"/>
          </w:tcPr>
          <w:p w14:paraId="6459F76A"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Przeterminowane &gt; 30 dni ≤ 90 dni</w:t>
            </w:r>
          </w:p>
        </w:tc>
        <w:tc>
          <w:tcPr>
            <w:tcW w:w="537" w:type="dxa"/>
          </w:tcPr>
          <w:p w14:paraId="6A759757" w14:textId="77777777" w:rsidR="00D41C60" w:rsidRPr="008E17C8" w:rsidRDefault="00D41C60" w:rsidP="00B06E6D">
            <w:pPr>
              <w:pStyle w:val="Default"/>
              <w:jc w:val="center"/>
              <w:rPr>
                <w:sz w:val="18"/>
                <w:szCs w:val="20"/>
              </w:rPr>
            </w:pPr>
          </w:p>
        </w:tc>
        <w:tc>
          <w:tcPr>
            <w:tcW w:w="1417" w:type="dxa"/>
            <w:gridSpan w:val="2"/>
          </w:tcPr>
          <w:p w14:paraId="3C3BDA2B" w14:textId="77777777" w:rsidR="00D41C60" w:rsidRPr="008E17C8" w:rsidRDefault="00D41C60" w:rsidP="00B06E6D">
            <w:pPr>
              <w:pStyle w:val="Default"/>
              <w:jc w:val="center"/>
              <w:rPr>
                <w:rFonts w:eastAsia="Times New Roman"/>
                <w:color w:val="auto"/>
                <w:sz w:val="18"/>
                <w:szCs w:val="20"/>
              </w:rPr>
            </w:pPr>
            <w:r w:rsidRPr="008E17C8">
              <w:rPr>
                <w:rFonts w:eastAsia="Times New Roman"/>
                <w:color w:val="auto"/>
                <w:sz w:val="18"/>
                <w:szCs w:val="20"/>
              </w:rPr>
              <w:t>Małe prawdopodobieństwo spłaty ekspozycji nieprzeterminowanych albo przeterminowanych ≤ 90 dni</w:t>
            </w:r>
          </w:p>
        </w:tc>
        <w:tc>
          <w:tcPr>
            <w:tcW w:w="843" w:type="dxa"/>
          </w:tcPr>
          <w:p w14:paraId="5F2D7D3C" w14:textId="77777777" w:rsidR="00D41C60" w:rsidRPr="008E17C8" w:rsidRDefault="00D41C60" w:rsidP="00B06E6D">
            <w:pPr>
              <w:pStyle w:val="Default"/>
              <w:jc w:val="center"/>
              <w:rPr>
                <w:rFonts w:eastAsia="Times New Roman"/>
                <w:color w:val="auto"/>
                <w:sz w:val="18"/>
                <w:szCs w:val="20"/>
              </w:rPr>
            </w:pPr>
            <w:r w:rsidRPr="008E17C8">
              <w:rPr>
                <w:rFonts w:eastAsia="Times New Roman"/>
                <w:color w:val="auto"/>
                <w:sz w:val="18"/>
                <w:szCs w:val="20"/>
              </w:rPr>
              <w:t>Przeterminowane &gt; 90 dni ≤ 180 dni</w:t>
            </w:r>
          </w:p>
        </w:tc>
        <w:tc>
          <w:tcPr>
            <w:tcW w:w="1000" w:type="dxa"/>
          </w:tcPr>
          <w:p w14:paraId="6F2A49ED" w14:textId="77777777" w:rsidR="00D41C60" w:rsidRPr="008E17C8" w:rsidRDefault="00D41C60" w:rsidP="00B06E6D">
            <w:pPr>
              <w:pStyle w:val="Default"/>
              <w:jc w:val="center"/>
              <w:rPr>
                <w:rFonts w:eastAsia="Times New Roman"/>
                <w:color w:val="auto"/>
                <w:sz w:val="18"/>
                <w:szCs w:val="20"/>
              </w:rPr>
            </w:pPr>
            <w:r w:rsidRPr="008E17C8">
              <w:rPr>
                <w:rFonts w:eastAsia="Times New Roman"/>
                <w:color w:val="auto"/>
                <w:sz w:val="18"/>
                <w:szCs w:val="20"/>
              </w:rPr>
              <w:t>Przeterminowane &gt; 180 dni ≤ 1 rok</w:t>
            </w:r>
          </w:p>
        </w:tc>
        <w:tc>
          <w:tcPr>
            <w:tcW w:w="992" w:type="dxa"/>
            <w:shd w:val="clear" w:color="auto" w:fill="538135"/>
          </w:tcPr>
          <w:p w14:paraId="4462EEDA" w14:textId="77777777" w:rsidR="00D41C60" w:rsidRPr="008E17C8" w:rsidRDefault="00D41C60" w:rsidP="00B06E6D">
            <w:pPr>
              <w:pStyle w:val="Default"/>
              <w:jc w:val="center"/>
              <w:rPr>
                <w:rFonts w:eastAsia="Times New Roman"/>
                <w:color w:val="auto"/>
                <w:sz w:val="18"/>
                <w:szCs w:val="20"/>
              </w:rPr>
            </w:pPr>
            <w:r w:rsidRPr="008E17C8">
              <w:rPr>
                <w:rFonts w:eastAsia="Times New Roman"/>
                <w:color w:val="auto"/>
                <w:sz w:val="18"/>
                <w:szCs w:val="20"/>
              </w:rPr>
              <w:t>Przeterminowane &gt; 1 rok ≤ 5 lat</w:t>
            </w:r>
          </w:p>
        </w:tc>
        <w:tc>
          <w:tcPr>
            <w:tcW w:w="993" w:type="dxa"/>
            <w:shd w:val="clear" w:color="auto" w:fill="538135"/>
          </w:tcPr>
          <w:p w14:paraId="2271EE73" w14:textId="77777777" w:rsidR="00D41C60" w:rsidRPr="008E17C8" w:rsidRDefault="00D41C60" w:rsidP="00B06E6D">
            <w:pPr>
              <w:pStyle w:val="Default"/>
              <w:jc w:val="center"/>
              <w:rPr>
                <w:rFonts w:eastAsia="Times New Roman"/>
                <w:color w:val="auto"/>
                <w:sz w:val="18"/>
                <w:szCs w:val="20"/>
              </w:rPr>
            </w:pPr>
            <w:r w:rsidRPr="008E17C8">
              <w:rPr>
                <w:rFonts w:eastAsia="Times New Roman"/>
                <w:color w:val="auto"/>
                <w:sz w:val="18"/>
                <w:szCs w:val="20"/>
              </w:rPr>
              <w:t>Przeterminowane  powyżej 5 lat</w:t>
            </w:r>
          </w:p>
        </w:tc>
        <w:tc>
          <w:tcPr>
            <w:tcW w:w="992" w:type="dxa"/>
          </w:tcPr>
          <w:p w14:paraId="07D56FAC" w14:textId="77777777" w:rsidR="00D41C60" w:rsidRPr="008E17C8" w:rsidRDefault="00D41C60" w:rsidP="00B06E6D">
            <w:pPr>
              <w:pStyle w:val="Default"/>
              <w:jc w:val="center"/>
              <w:rPr>
                <w:rFonts w:eastAsia="Times New Roman"/>
                <w:color w:val="auto"/>
                <w:sz w:val="18"/>
                <w:szCs w:val="20"/>
              </w:rPr>
            </w:pPr>
            <w:r w:rsidRPr="008E17C8">
              <w:rPr>
                <w:rFonts w:eastAsia="Times New Roman"/>
                <w:color w:val="auto"/>
                <w:sz w:val="18"/>
                <w:szCs w:val="20"/>
              </w:rPr>
              <w:t>Przeterminowane &gt; 5 lat ≤ 7 lat</w:t>
            </w:r>
          </w:p>
        </w:tc>
        <w:tc>
          <w:tcPr>
            <w:tcW w:w="992" w:type="dxa"/>
          </w:tcPr>
          <w:p w14:paraId="2229CE50" w14:textId="77777777" w:rsidR="00D41C60" w:rsidRPr="008E17C8" w:rsidRDefault="00D41C60" w:rsidP="00B06E6D">
            <w:pPr>
              <w:pStyle w:val="Default"/>
              <w:jc w:val="center"/>
              <w:rPr>
                <w:rFonts w:eastAsia="Times New Roman"/>
                <w:color w:val="auto"/>
                <w:sz w:val="18"/>
                <w:szCs w:val="20"/>
              </w:rPr>
            </w:pPr>
            <w:r w:rsidRPr="008E17C8">
              <w:rPr>
                <w:rFonts w:eastAsia="Times New Roman"/>
                <w:color w:val="auto"/>
                <w:sz w:val="18"/>
                <w:szCs w:val="20"/>
              </w:rPr>
              <w:t>Przeterminowane &gt; 7 lat</w:t>
            </w:r>
          </w:p>
        </w:tc>
        <w:tc>
          <w:tcPr>
            <w:tcW w:w="1427" w:type="dxa"/>
          </w:tcPr>
          <w:p w14:paraId="38DC88B6" w14:textId="77777777" w:rsidR="00D41C60" w:rsidRPr="008E17C8" w:rsidRDefault="00D41C60" w:rsidP="00B06E6D">
            <w:pPr>
              <w:pStyle w:val="Default"/>
              <w:jc w:val="center"/>
              <w:rPr>
                <w:rFonts w:eastAsia="Times New Roman"/>
                <w:color w:val="auto"/>
                <w:sz w:val="18"/>
                <w:szCs w:val="20"/>
              </w:rPr>
            </w:pPr>
            <w:r w:rsidRPr="008E17C8">
              <w:rPr>
                <w:rFonts w:eastAsia="Times New Roman"/>
                <w:color w:val="auto"/>
                <w:sz w:val="18"/>
                <w:szCs w:val="20"/>
              </w:rPr>
              <w:t>W tym ekspozycje, których dotyczy niewykonanie zobowiązania</w:t>
            </w:r>
          </w:p>
        </w:tc>
      </w:tr>
      <w:tr w:rsidR="00B06E6D" w:rsidRPr="008E17C8" w14:paraId="59D3CAEB" w14:textId="77777777" w:rsidTr="00B06E6D">
        <w:tc>
          <w:tcPr>
            <w:tcW w:w="419" w:type="dxa"/>
          </w:tcPr>
          <w:p w14:paraId="5B3E100E"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1</w:t>
            </w:r>
          </w:p>
        </w:tc>
        <w:tc>
          <w:tcPr>
            <w:tcW w:w="1100" w:type="dxa"/>
          </w:tcPr>
          <w:p w14:paraId="76FAC253" w14:textId="77777777" w:rsidR="00D41C60" w:rsidRPr="008E17C8" w:rsidRDefault="00D41C60" w:rsidP="00D41C60">
            <w:pPr>
              <w:pStyle w:val="Default"/>
              <w:rPr>
                <w:sz w:val="18"/>
                <w:szCs w:val="20"/>
              </w:rPr>
            </w:pPr>
            <w:r w:rsidRPr="008E17C8">
              <w:rPr>
                <w:sz w:val="18"/>
                <w:szCs w:val="20"/>
              </w:rPr>
              <w:t xml:space="preserve">Kredyty i zaliczki </w:t>
            </w:r>
          </w:p>
          <w:p w14:paraId="0CFDD0CF" w14:textId="77777777" w:rsidR="00D41C60" w:rsidRPr="008E17C8" w:rsidRDefault="00D41C60" w:rsidP="00D41C60">
            <w:pPr>
              <w:rPr>
                <w:rFonts w:ascii="Times New Roman" w:hAnsi="Times New Roman" w:cs="Times New Roman"/>
                <w:sz w:val="18"/>
                <w:szCs w:val="20"/>
              </w:rPr>
            </w:pPr>
          </w:p>
        </w:tc>
        <w:tc>
          <w:tcPr>
            <w:tcW w:w="597" w:type="dxa"/>
          </w:tcPr>
          <w:p w14:paraId="004042FC" w14:textId="77777777" w:rsidR="00D41C60" w:rsidRPr="008E17C8" w:rsidRDefault="00D41C60" w:rsidP="00B06E6D">
            <w:pPr>
              <w:jc w:val="both"/>
              <w:rPr>
                <w:rFonts w:ascii="Times New Roman" w:hAnsi="Times New Roman" w:cs="Times New Roman"/>
                <w:sz w:val="20"/>
                <w:szCs w:val="20"/>
              </w:rPr>
            </w:pPr>
          </w:p>
        </w:tc>
        <w:tc>
          <w:tcPr>
            <w:tcW w:w="1446" w:type="dxa"/>
            <w:gridSpan w:val="2"/>
          </w:tcPr>
          <w:p w14:paraId="3C567059" w14:textId="77777777" w:rsidR="00D41C60" w:rsidRPr="008E17C8" w:rsidRDefault="00D41C60" w:rsidP="00B06E6D">
            <w:pPr>
              <w:jc w:val="both"/>
              <w:rPr>
                <w:rFonts w:ascii="Times New Roman" w:hAnsi="Times New Roman" w:cs="Times New Roman"/>
                <w:sz w:val="20"/>
                <w:szCs w:val="20"/>
              </w:rPr>
            </w:pPr>
          </w:p>
        </w:tc>
        <w:tc>
          <w:tcPr>
            <w:tcW w:w="1274" w:type="dxa"/>
          </w:tcPr>
          <w:p w14:paraId="5B20E604" w14:textId="77777777" w:rsidR="00D41C60" w:rsidRPr="008E17C8" w:rsidRDefault="00D41C60" w:rsidP="00B06E6D">
            <w:pPr>
              <w:jc w:val="both"/>
              <w:rPr>
                <w:rFonts w:ascii="Times New Roman" w:hAnsi="Times New Roman" w:cs="Times New Roman"/>
                <w:sz w:val="20"/>
                <w:szCs w:val="20"/>
              </w:rPr>
            </w:pPr>
          </w:p>
        </w:tc>
        <w:tc>
          <w:tcPr>
            <w:tcW w:w="537" w:type="dxa"/>
          </w:tcPr>
          <w:p w14:paraId="18250DF5" w14:textId="77777777" w:rsidR="00D41C60" w:rsidRPr="008E17C8" w:rsidRDefault="00D41C60" w:rsidP="00B06E6D">
            <w:pPr>
              <w:jc w:val="both"/>
              <w:rPr>
                <w:rFonts w:ascii="Times New Roman" w:hAnsi="Times New Roman" w:cs="Times New Roman"/>
                <w:sz w:val="20"/>
                <w:szCs w:val="20"/>
              </w:rPr>
            </w:pPr>
          </w:p>
        </w:tc>
        <w:tc>
          <w:tcPr>
            <w:tcW w:w="1417" w:type="dxa"/>
            <w:gridSpan w:val="2"/>
          </w:tcPr>
          <w:p w14:paraId="6095360F" w14:textId="77777777" w:rsidR="00D41C60" w:rsidRPr="008E17C8" w:rsidRDefault="00D41C60" w:rsidP="00B06E6D">
            <w:pPr>
              <w:jc w:val="both"/>
              <w:rPr>
                <w:rFonts w:ascii="Times New Roman" w:hAnsi="Times New Roman" w:cs="Times New Roman"/>
                <w:sz w:val="20"/>
                <w:szCs w:val="20"/>
              </w:rPr>
            </w:pPr>
          </w:p>
        </w:tc>
        <w:tc>
          <w:tcPr>
            <w:tcW w:w="843" w:type="dxa"/>
          </w:tcPr>
          <w:p w14:paraId="5747D748" w14:textId="77777777" w:rsidR="00D41C60" w:rsidRPr="008E17C8" w:rsidRDefault="00D41C60" w:rsidP="00B06E6D">
            <w:pPr>
              <w:jc w:val="both"/>
              <w:rPr>
                <w:rFonts w:ascii="Times New Roman" w:hAnsi="Times New Roman" w:cs="Times New Roman"/>
                <w:sz w:val="20"/>
                <w:szCs w:val="20"/>
              </w:rPr>
            </w:pPr>
          </w:p>
        </w:tc>
        <w:tc>
          <w:tcPr>
            <w:tcW w:w="1000" w:type="dxa"/>
          </w:tcPr>
          <w:p w14:paraId="7A1ACC54" w14:textId="77777777" w:rsidR="00D41C60" w:rsidRPr="008E17C8" w:rsidRDefault="00D41C60" w:rsidP="00B06E6D">
            <w:pPr>
              <w:jc w:val="both"/>
              <w:rPr>
                <w:rFonts w:ascii="Times New Roman" w:hAnsi="Times New Roman" w:cs="Times New Roman"/>
                <w:sz w:val="20"/>
                <w:szCs w:val="20"/>
              </w:rPr>
            </w:pPr>
          </w:p>
        </w:tc>
        <w:tc>
          <w:tcPr>
            <w:tcW w:w="992" w:type="dxa"/>
          </w:tcPr>
          <w:p w14:paraId="711DB749" w14:textId="77777777" w:rsidR="00D41C60" w:rsidRPr="008E17C8" w:rsidRDefault="00D41C60" w:rsidP="00B06E6D">
            <w:pPr>
              <w:jc w:val="both"/>
              <w:rPr>
                <w:rFonts w:ascii="Times New Roman" w:hAnsi="Times New Roman" w:cs="Times New Roman"/>
                <w:sz w:val="20"/>
                <w:szCs w:val="20"/>
              </w:rPr>
            </w:pPr>
          </w:p>
        </w:tc>
        <w:tc>
          <w:tcPr>
            <w:tcW w:w="993" w:type="dxa"/>
          </w:tcPr>
          <w:p w14:paraId="1C0D66A1"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6A6A6"/>
          </w:tcPr>
          <w:p w14:paraId="4926F2BF"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6A6A6"/>
          </w:tcPr>
          <w:p w14:paraId="763B756E" w14:textId="77777777" w:rsidR="00D41C60" w:rsidRPr="008E17C8" w:rsidRDefault="00D41C60" w:rsidP="00B06E6D">
            <w:pPr>
              <w:jc w:val="both"/>
              <w:rPr>
                <w:rFonts w:ascii="Times New Roman" w:hAnsi="Times New Roman" w:cs="Times New Roman"/>
                <w:sz w:val="20"/>
                <w:szCs w:val="20"/>
              </w:rPr>
            </w:pPr>
          </w:p>
        </w:tc>
        <w:tc>
          <w:tcPr>
            <w:tcW w:w="1427" w:type="dxa"/>
          </w:tcPr>
          <w:p w14:paraId="6214FA50" w14:textId="77777777" w:rsidR="00D41C60" w:rsidRPr="008E17C8" w:rsidRDefault="00D41C60" w:rsidP="00B06E6D">
            <w:pPr>
              <w:jc w:val="both"/>
              <w:rPr>
                <w:rFonts w:ascii="Times New Roman" w:hAnsi="Times New Roman" w:cs="Times New Roman"/>
                <w:sz w:val="20"/>
                <w:szCs w:val="20"/>
              </w:rPr>
            </w:pPr>
          </w:p>
        </w:tc>
      </w:tr>
      <w:tr w:rsidR="00B06E6D" w:rsidRPr="008E17C8" w14:paraId="12B4382A" w14:textId="77777777" w:rsidTr="00B06E6D">
        <w:tc>
          <w:tcPr>
            <w:tcW w:w="419" w:type="dxa"/>
          </w:tcPr>
          <w:p w14:paraId="2D1C7CE1"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2</w:t>
            </w:r>
          </w:p>
        </w:tc>
        <w:tc>
          <w:tcPr>
            <w:tcW w:w="1100" w:type="dxa"/>
          </w:tcPr>
          <w:p w14:paraId="38EF7F9B" w14:textId="77777777" w:rsidR="00D41C60" w:rsidRPr="008E17C8" w:rsidRDefault="00D41C60" w:rsidP="00D41C60">
            <w:pPr>
              <w:pStyle w:val="Default"/>
              <w:rPr>
                <w:sz w:val="18"/>
                <w:szCs w:val="20"/>
              </w:rPr>
            </w:pPr>
            <w:r w:rsidRPr="008E17C8">
              <w:rPr>
                <w:iCs/>
                <w:sz w:val="18"/>
                <w:szCs w:val="20"/>
              </w:rPr>
              <w:t xml:space="preserve">Banki centralne </w:t>
            </w:r>
          </w:p>
          <w:p w14:paraId="56FF3C2B" w14:textId="77777777" w:rsidR="00D41C60" w:rsidRPr="008E17C8" w:rsidRDefault="00D41C60" w:rsidP="00D41C60">
            <w:pPr>
              <w:rPr>
                <w:rFonts w:ascii="Times New Roman" w:hAnsi="Times New Roman" w:cs="Times New Roman"/>
                <w:sz w:val="18"/>
                <w:szCs w:val="20"/>
              </w:rPr>
            </w:pPr>
          </w:p>
        </w:tc>
        <w:tc>
          <w:tcPr>
            <w:tcW w:w="597" w:type="dxa"/>
          </w:tcPr>
          <w:p w14:paraId="18B415D0" w14:textId="77777777" w:rsidR="00D41C60" w:rsidRPr="008E17C8" w:rsidRDefault="00D41C60" w:rsidP="00B06E6D">
            <w:pPr>
              <w:jc w:val="both"/>
              <w:rPr>
                <w:rFonts w:ascii="Times New Roman" w:hAnsi="Times New Roman" w:cs="Times New Roman"/>
                <w:sz w:val="20"/>
                <w:szCs w:val="20"/>
              </w:rPr>
            </w:pPr>
          </w:p>
        </w:tc>
        <w:tc>
          <w:tcPr>
            <w:tcW w:w="1446" w:type="dxa"/>
            <w:gridSpan w:val="2"/>
          </w:tcPr>
          <w:p w14:paraId="4FB59E62" w14:textId="77777777" w:rsidR="00D41C60" w:rsidRPr="008E17C8" w:rsidRDefault="00D41C60" w:rsidP="00B06E6D">
            <w:pPr>
              <w:jc w:val="both"/>
              <w:rPr>
                <w:rFonts w:ascii="Times New Roman" w:hAnsi="Times New Roman" w:cs="Times New Roman"/>
                <w:sz w:val="20"/>
                <w:szCs w:val="20"/>
              </w:rPr>
            </w:pPr>
          </w:p>
        </w:tc>
        <w:tc>
          <w:tcPr>
            <w:tcW w:w="1274" w:type="dxa"/>
          </w:tcPr>
          <w:p w14:paraId="0589FCEE" w14:textId="77777777" w:rsidR="00D41C60" w:rsidRPr="008E17C8" w:rsidRDefault="00D41C60" w:rsidP="00B06E6D">
            <w:pPr>
              <w:jc w:val="both"/>
              <w:rPr>
                <w:rFonts w:ascii="Times New Roman" w:hAnsi="Times New Roman" w:cs="Times New Roman"/>
                <w:sz w:val="20"/>
                <w:szCs w:val="20"/>
              </w:rPr>
            </w:pPr>
          </w:p>
        </w:tc>
        <w:tc>
          <w:tcPr>
            <w:tcW w:w="537" w:type="dxa"/>
          </w:tcPr>
          <w:p w14:paraId="19B8FC72" w14:textId="77777777" w:rsidR="00D41C60" w:rsidRPr="008E17C8" w:rsidRDefault="00D41C60" w:rsidP="00B06E6D">
            <w:pPr>
              <w:jc w:val="both"/>
              <w:rPr>
                <w:rFonts w:ascii="Times New Roman" w:hAnsi="Times New Roman" w:cs="Times New Roman"/>
                <w:sz w:val="20"/>
                <w:szCs w:val="20"/>
              </w:rPr>
            </w:pPr>
          </w:p>
        </w:tc>
        <w:tc>
          <w:tcPr>
            <w:tcW w:w="1417" w:type="dxa"/>
            <w:gridSpan w:val="2"/>
          </w:tcPr>
          <w:p w14:paraId="68B96DEA" w14:textId="77777777" w:rsidR="00D41C60" w:rsidRPr="008E17C8" w:rsidRDefault="00D41C60" w:rsidP="00B06E6D">
            <w:pPr>
              <w:jc w:val="both"/>
              <w:rPr>
                <w:rFonts w:ascii="Times New Roman" w:hAnsi="Times New Roman" w:cs="Times New Roman"/>
                <w:sz w:val="20"/>
                <w:szCs w:val="20"/>
              </w:rPr>
            </w:pPr>
          </w:p>
        </w:tc>
        <w:tc>
          <w:tcPr>
            <w:tcW w:w="843" w:type="dxa"/>
          </w:tcPr>
          <w:p w14:paraId="2CBA954E" w14:textId="77777777" w:rsidR="00D41C60" w:rsidRPr="008E17C8" w:rsidRDefault="00D41C60" w:rsidP="00B06E6D">
            <w:pPr>
              <w:jc w:val="both"/>
              <w:rPr>
                <w:rFonts w:ascii="Times New Roman" w:hAnsi="Times New Roman" w:cs="Times New Roman"/>
                <w:sz w:val="20"/>
                <w:szCs w:val="20"/>
              </w:rPr>
            </w:pPr>
          </w:p>
        </w:tc>
        <w:tc>
          <w:tcPr>
            <w:tcW w:w="1000" w:type="dxa"/>
          </w:tcPr>
          <w:p w14:paraId="0CFEAF60" w14:textId="77777777" w:rsidR="00D41C60" w:rsidRPr="008E17C8" w:rsidRDefault="00D41C60" w:rsidP="00B06E6D">
            <w:pPr>
              <w:jc w:val="both"/>
              <w:rPr>
                <w:rFonts w:ascii="Times New Roman" w:hAnsi="Times New Roman" w:cs="Times New Roman"/>
                <w:sz w:val="20"/>
                <w:szCs w:val="20"/>
              </w:rPr>
            </w:pPr>
          </w:p>
        </w:tc>
        <w:tc>
          <w:tcPr>
            <w:tcW w:w="992" w:type="dxa"/>
          </w:tcPr>
          <w:p w14:paraId="219AA7C8" w14:textId="77777777" w:rsidR="00D41C60" w:rsidRPr="008E17C8" w:rsidRDefault="00D41C60" w:rsidP="00B06E6D">
            <w:pPr>
              <w:jc w:val="both"/>
              <w:rPr>
                <w:rFonts w:ascii="Times New Roman" w:hAnsi="Times New Roman" w:cs="Times New Roman"/>
                <w:sz w:val="20"/>
                <w:szCs w:val="20"/>
              </w:rPr>
            </w:pPr>
          </w:p>
        </w:tc>
        <w:tc>
          <w:tcPr>
            <w:tcW w:w="993" w:type="dxa"/>
          </w:tcPr>
          <w:p w14:paraId="45235615"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6A6A6"/>
          </w:tcPr>
          <w:p w14:paraId="77AA46D5"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6A6A6"/>
          </w:tcPr>
          <w:p w14:paraId="5A6C4619" w14:textId="77777777" w:rsidR="00D41C60" w:rsidRPr="008E17C8" w:rsidRDefault="00D41C60" w:rsidP="00B06E6D">
            <w:pPr>
              <w:jc w:val="both"/>
              <w:rPr>
                <w:rFonts w:ascii="Times New Roman" w:hAnsi="Times New Roman" w:cs="Times New Roman"/>
                <w:sz w:val="20"/>
                <w:szCs w:val="20"/>
              </w:rPr>
            </w:pPr>
          </w:p>
        </w:tc>
        <w:tc>
          <w:tcPr>
            <w:tcW w:w="1427" w:type="dxa"/>
          </w:tcPr>
          <w:p w14:paraId="06CA1C81" w14:textId="77777777" w:rsidR="00D41C60" w:rsidRPr="008E17C8" w:rsidRDefault="00D41C60" w:rsidP="00B06E6D">
            <w:pPr>
              <w:jc w:val="both"/>
              <w:rPr>
                <w:rFonts w:ascii="Times New Roman" w:hAnsi="Times New Roman" w:cs="Times New Roman"/>
                <w:sz w:val="20"/>
                <w:szCs w:val="20"/>
              </w:rPr>
            </w:pPr>
          </w:p>
        </w:tc>
      </w:tr>
      <w:tr w:rsidR="00B06E6D" w:rsidRPr="008E17C8" w14:paraId="4D582580" w14:textId="77777777" w:rsidTr="00B06E6D">
        <w:tc>
          <w:tcPr>
            <w:tcW w:w="419" w:type="dxa"/>
          </w:tcPr>
          <w:p w14:paraId="26DB58AF"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3</w:t>
            </w:r>
          </w:p>
        </w:tc>
        <w:tc>
          <w:tcPr>
            <w:tcW w:w="1100" w:type="dxa"/>
          </w:tcPr>
          <w:p w14:paraId="47E5F89B" w14:textId="77777777" w:rsidR="00D41C60" w:rsidRPr="008E17C8" w:rsidRDefault="00D41C60" w:rsidP="00D41C60">
            <w:pPr>
              <w:pStyle w:val="Default"/>
              <w:rPr>
                <w:sz w:val="18"/>
                <w:szCs w:val="20"/>
              </w:rPr>
            </w:pPr>
            <w:r w:rsidRPr="008E17C8">
              <w:rPr>
                <w:iCs/>
                <w:sz w:val="18"/>
                <w:szCs w:val="20"/>
              </w:rPr>
              <w:t xml:space="preserve">Instytucje rządowe </w:t>
            </w:r>
          </w:p>
          <w:p w14:paraId="5C7F33A4" w14:textId="77777777" w:rsidR="00D41C60" w:rsidRPr="008E17C8" w:rsidRDefault="00D41C60" w:rsidP="00D41C60">
            <w:pPr>
              <w:rPr>
                <w:rFonts w:ascii="Times New Roman" w:hAnsi="Times New Roman" w:cs="Times New Roman"/>
                <w:sz w:val="18"/>
                <w:szCs w:val="20"/>
              </w:rPr>
            </w:pPr>
          </w:p>
        </w:tc>
        <w:tc>
          <w:tcPr>
            <w:tcW w:w="597" w:type="dxa"/>
          </w:tcPr>
          <w:p w14:paraId="16ECF28C" w14:textId="77777777" w:rsidR="00D41C60" w:rsidRPr="008E17C8" w:rsidRDefault="00D41C60" w:rsidP="00B06E6D">
            <w:pPr>
              <w:jc w:val="both"/>
              <w:rPr>
                <w:rFonts w:ascii="Times New Roman" w:hAnsi="Times New Roman" w:cs="Times New Roman"/>
                <w:sz w:val="20"/>
                <w:szCs w:val="20"/>
              </w:rPr>
            </w:pPr>
          </w:p>
        </w:tc>
        <w:tc>
          <w:tcPr>
            <w:tcW w:w="1446" w:type="dxa"/>
            <w:gridSpan w:val="2"/>
          </w:tcPr>
          <w:p w14:paraId="1B21A1C7" w14:textId="77777777" w:rsidR="00D41C60" w:rsidRPr="008E17C8" w:rsidRDefault="00D41C60" w:rsidP="00B06E6D">
            <w:pPr>
              <w:jc w:val="both"/>
              <w:rPr>
                <w:rFonts w:ascii="Times New Roman" w:hAnsi="Times New Roman" w:cs="Times New Roman"/>
                <w:sz w:val="20"/>
                <w:szCs w:val="20"/>
              </w:rPr>
            </w:pPr>
          </w:p>
        </w:tc>
        <w:tc>
          <w:tcPr>
            <w:tcW w:w="1274" w:type="dxa"/>
          </w:tcPr>
          <w:p w14:paraId="74481C9E" w14:textId="77777777" w:rsidR="00D41C60" w:rsidRPr="008E17C8" w:rsidRDefault="00D41C60" w:rsidP="00B06E6D">
            <w:pPr>
              <w:jc w:val="both"/>
              <w:rPr>
                <w:rFonts w:ascii="Times New Roman" w:hAnsi="Times New Roman" w:cs="Times New Roman"/>
                <w:sz w:val="20"/>
                <w:szCs w:val="20"/>
              </w:rPr>
            </w:pPr>
          </w:p>
        </w:tc>
        <w:tc>
          <w:tcPr>
            <w:tcW w:w="537" w:type="dxa"/>
          </w:tcPr>
          <w:p w14:paraId="0D7EC4A0" w14:textId="77777777" w:rsidR="00D41C60" w:rsidRPr="008E17C8" w:rsidRDefault="00D41C60" w:rsidP="00B06E6D">
            <w:pPr>
              <w:jc w:val="both"/>
              <w:rPr>
                <w:rFonts w:ascii="Times New Roman" w:hAnsi="Times New Roman" w:cs="Times New Roman"/>
                <w:sz w:val="20"/>
                <w:szCs w:val="20"/>
              </w:rPr>
            </w:pPr>
          </w:p>
        </w:tc>
        <w:tc>
          <w:tcPr>
            <w:tcW w:w="1417" w:type="dxa"/>
            <w:gridSpan w:val="2"/>
          </w:tcPr>
          <w:p w14:paraId="5349DEE7" w14:textId="77777777" w:rsidR="00D41C60" w:rsidRPr="008E17C8" w:rsidRDefault="00D41C60" w:rsidP="00B06E6D">
            <w:pPr>
              <w:jc w:val="both"/>
              <w:rPr>
                <w:rFonts w:ascii="Times New Roman" w:hAnsi="Times New Roman" w:cs="Times New Roman"/>
                <w:sz w:val="20"/>
                <w:szCs w:val="20"/>
              </w:rPr>
            </w:pPr>
          </w:p>
        </w:tc>
        <w:tc>
          <w:tcPr>
            <w:tcW w:w="843" w:type="dxa"/>
          </w:tcPr>
          <w:p w14:paraId="53F92746" w14:textId="77777777" w:rsidR="00D41C60" w:rsidRPr="008E17C8" w:rsidRDefault="00D41C60" w:rsidP="00B06E6D">
            <w:pPr>
              <w:jc w:val="both"/>
              <w:rPr>
                <w:rFonts w:ascii="Times New Roman" w:hAnsi="Times New Roman" w:cs="Times New Roman"/>
                <w:sz w:val="20"/>
                <w:szCs w:val="20"/>
              </w:rPr>
            </w:pPr>
          </w:p>
        </w:tc>
        <w:tc>
          <w:tcPr>
            <w:tcW w:w="1000" w:type="dxa"/>
          </w:tcPr>
          <w:p w14:paraId="18647CBA" w14:textId="77777777" w:rsidR="00D41C60" w:rsidRPr="008E17C8" w:rsidRDefault="00D41C60" w:rsidP="00B06E6D">
            <w:pPr>
              <w:jc w:val="both"/>
              <w:rPr>
                <w:rFonts w:ascii="Times New Roman" w:hAnsi="Times New Roman" w:cs="Times New Roman"/>
                <w:sz w:val="20"/>
                <w:szCs w:val="20"/>
              </w:rPr>
            </w:pPr>
          </w:p>
        </w:tc>
        <w:tc>
          <w:tcPr>
            <w:tcW w:w="992" w:type="dxa"/>
          </w:tcPr>
          <w:p w14:paraId="6211AC4E" w14:textId="77777777" w:rsidR="00D41C60" w:rsidRPr="008E17C8" w:rsidRDefault="00D41C60" w:rsidP="00B06E6D">
            <w:pPr>
              <w:jc w:val="both"/>
              <w:rPr>
                <w:rFonts w:ascii="Times New Roman" w:hAnsi="Times New Roman" w:cs="Times New Roman"/>
                <w:sz w:val="20"/>
                <w:szCs w:val="20"/>
              </w:rPr>
            </w:pPr>
          </w:p>
        </w:tc>
        <w:tc>
          <w:tcPr>
            <w:tcW w:w="993" w:type="dxa"/>
          </w:tcPr>
          <w:p w14:paraId="5B0C2A24"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6A6A6"/>
          </w:tcPr>
          <w:p w14:paraId="7CB97FF1"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6A6A6"/>
          </w:tcPr>
          <w:p w14:paraId="736E2AB9" w14:textId="77777777" w:rsidR="00D41C60" w:rsidRPr="008E17C8" w:rsidRDefault="00D41C60" w:rsidP="00B06E6D">
            <w:pPr>
              <w:jc w:val="both"/>
              <w:rPr>
                <w:rFonts w:ascii="Times New Roman" w:hAnsi="Times New Roman" w:cs="Times New Roman"/>
                <w:sz w:val="20"/>
                <w:szCs w:val="20"/>
              </w:rPr>
            </w:pPr>
          </w:p>
        </w:tc>
        <w:tc>
          <w:tcPr>
            <w:tcW w:w="1427" w:type="dxa"/>
          </w:tcPr>
          <w:p w14:paraId="6469E3E1" w14:textId="77777777" w:rsidR="00D41C60" w:rsidRPr="008E17C8" w:rsidRDefault="00D41C60" w:rsidP="00B06E6D">
            <w:pPr>
              <w:jc w:val="both"/>
              <w:rPr>
                <w:rFonts w:ascii="Times New Roman" w:hAnsi="Times New Roman" w:cs="Times New Roman"/>
                <w:sz w:val="20"/>
                <w:szCs w:val="20"/>
              </w:rPr>
            </w:pPr>
          </w:p>
        </w:tc>
      </w:tr>
      <w:tr w:rsidR="00B06E6D" w:rsidRPr="008E17C8" w14:paraId="5A2B55A6" w14:textId="77777777" w:rsidTr="00B06E6D">
        <w:tc>
          <w:tcPr>
            <w:tcW w:w="419" w:type="dxa"/>
          </w:tcPr>
          <w:p w14:paraId="49A37584"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4</w:t>
            </w:r>
          </w:p>
        </w:tc>
        <w:tc>
          <w:tcPr>
            <w:tcW w:w="1100" w:type="dxa"/>
          </w:tcPr>
          <w:p w14:paraId="1EE036E0" w14:textId="77777777" w:rsidR="00D41C60" w:rsidRPr="008E17C8" w:rsidRDefault="00D41C60" w:rsidP="00D41C60">
            <w:pPr>
              <w:pStyle w:val="Default"/>
              <w:rPr>
                <w:sz w:val="18"/>
                <w:szCs w:val="20"/>
              </w:rPr>
            </w:pPr>
            <w:r w:rsidRPr="008E17C8">
              <w:rPr>
                <w:iCs/>
                <w:sz w:val="18"/>
                <w:szCs w:val="20"/>
              </w:rPr>
              <w:t xml:space="preserve">Instytucje kredytowe </w:t>
            </w:r>
          </w:p>
          <w:p w14:paraId="1AA5F4C3" w14:textId="77777777" w:rsidR="00D41C60" w:rsidRPr="008E17C8" w:rsidRDefault="00D41C60" w:rsidP="00D41C60">
            <w:pPr>
              <w:rPr>
                <w:rFonts w:ascii="Times New Roman" w:hAnsi="Times New Roman" w:cs="Times New Roman"/>
                <w:sz w:val="18"/>
                <w:szCs w:val="20"/>
              </w:rPr>
            </w:pPr>
          </w:p>
        </w:tc>
        <w:tc>
          <w:tcPr>
            <w:tcW w:w="597" w:type="dxa"/>
          </w:tcPr>
          <w:p w14:paraId="6BAB97F5" w14:textId="77777777" w:rsidR="00D41C60" w:rsidRPr="008E17C8" w:rsidRDefault="00D41C60" w:rsidP="00B06E6D">
            <w:pPr>
              <w:jc w:val="both"/>
              <w:rPr>
                <w:rFonts w:ascii="Times New Roman" w:hAnsi="Times New Roman" w:cs="Times New Roman"/>
                <w:sz w:val="20"/>
                <w:szCs w:val="20"/>
              </w:rPr>
            </w:pPr>
          </w:p>
        </w:tc>
        <w:tc>
          <w:tcPr>
            <w:tcW w:w="1446" w:type="dxa"/>
            <w:gridSpan w:val="2"/>
          </w:tcPr>
          <w:p w14:paraId="30F177E8" w14:textId="77777777" w:rsidR="00D41C60" w:rsidRPr="008E17C8" w:rsidRDefault="00D41C60" w:rsidP="00B06E6D">
            <w:pPr>
              <w:jc w:val="both"/>
              <w:rPr>
                <w:rFonts w:ascii="Times New Roman" w:hAnsi="Times New Roman" w:cs="Times New Roman"/>
                <w:sz w:val="20"/>
                <w:szCs w:val="20"/>
              </w:rPr>
            </w:pPr>
          </w:p>
        </w:tc>
        <w:tc>
          <w:tcPr>
            <w:tcW w:w="1274" w:type="dxa"/>
          </w:tcPr>
          <w:p w14:paraId="3A91DA52" w14:textId="77777777" w:rsidR="00D41C60" w:rsidRPr="008E17C8" w:rsidRDefault="00D41C60" w:rsidP="00B06E6D">
            <w:pPr>
              <w:jc w:val="both"/>
              <w:rPr>
                <w:rFonts w:ascii="Times New Roman" w:hAnsi="Times New Roman" w:cs="Times New Roman"/>
                <w:sz w:val="20"/>
                <w:szCs w:val="20"/>
              </w:rPr>
            </w:pPr>
          </w:p>
        </w:tc>
        <w:tc>
          <w:tcPr>
            <w:tcW w:w="537" w:type="dxa"/>
          </w:tcPr>
          <w:p w14:paraId="087149DE" w14:textId="77777777" w:rsidR="00D41C60" w:rsidRPr="008E17C8" w:rsidRDefault="00D41C60" w:rsidP="00B06E6D">
            <w:pPr>
              <w:jc w:val="both"/>
              <w:rPr>
                <w:rFonts w:ascii="Times New Roman" w:hAnsi="Times New Roman" w:cs="Times New Roman"/>
                <w:sz w:val="20"/>
                <w:szCs w:val="20"/>
              </w:rPr>
            </w:pPr>
          </w:p>
        </w:tc>
        <w:tc>
          <w:tcPr>
            <w:tcW w:w="1417" w:type="dxa"/>
            <w:gridSpan w:val="2"/>
          </w:tcPr>
          <w:p w14:paraId="7D2B8776" w14:textId="77777777" w:rsidR="00D41C60" w:rsidRPr="008E17C8" w:rsidRDefault="00D41C60" w:rsidP="00B06E6D">
            <w:pPr>
              <w:jc w:val="both"/>
              <w:rPr>
                <w:rFonts w:ascii="Times New Roman" w:hAnsi="Times New Roman" w:cs="Times New Roman"/>
                <w:sz w:val="20"/>
                <w:szCs w:val="20"/>
              </w:rPr>
            </w:pPr>
          </w:p>
        </w:tc>
        <w:tc>
          <w:tcPr>
            <w:tcW w:w="843" w:type="dxa"/>
          </w:tcPr>
          <w:p w14:paraId="09F8B474" w14:textId="77777777" w:rsidR="00D41C60" w:rsidRPr="008E17C8" w:rsidRDefault="00D41C60" w:rsidP="00B06E6D">
            <w:pPr>
              <w:jc w:val="both"/>
              <w:rPr>
                <w:rFonts w:ascii="Times New Roman" w:hAnsi="Times New Roman" w:cs="Times New Roman"/>
                <w:sz w:val="20"/>
                <w:szCs w:val="20"/>
              </w:rPr>
            </w:pPr>
          </w:p>
        </w:tc>
        <w:tc>
          <w:tcPr>
            <w:tcW w:w="1000" w:type="dxa"/>
          </w:tcPr>
          <w:p w14:paraId="252F7FEA" w14:textId="77777777" w:rsidR="00D41C60" w:rsidRPr="008E17C8" w:rsidRDefault="00D41C60" w:rsidP="00B06E6D">
            <w:pPr>
              <w:jc w:val="both"/>
              <w:rPr>
                <w:rFonts w:ascii="Times New Roman" w:hAnsi="Times New Roman" w:cs="Times New Roman"/>
                <w:sz w:val="20"/>
                <w:szCs w:val="20"/>
              </w:rPr>
            </w:pPr>
          </w:p>
        </w:tc>
        <w:tc>
          <w:tcPr>
            <w:tcW w:w="992" w:type="dxa"/>
          </w:tcPr>
          <w:p w14:paraId="2A4AE935" w14:textId="77777777" w:rsidR="00D41C60" w:rsidRPr="008E17C8" w:rsidRDefault="00D41C60" w:rsidP="00B06E6D">
            <w:pPr>
              <w:jc w:val="both"/>
              <w:rPr>
                <w:rFonts w:ascii="Times New Roman" w:hAnsi="Times New Roman" w:cs="Times New Roman"/>
                <w:sz w:val="20"/>
                <w:szCs w:val="20"/>
              </w:rPr>
            </w:pPr>
          </w:p>
        </w:tc>
        <w:tc>
          <w:tcPr>
            <w:tcW w:w="993" w:type="dxa"/>
          </w:tcPr>
          <w:p w14:paraId="16E16EBF"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6A6A6"/>
          </w:tcPr>
          <w:p w14:paraId="61625CB7"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6A6A6"/>
          </w:tcPr>
          <w:p w14:paraId="158BD5B0" w14:textId="77777777" w:rsidR="00D41C60" w:rsidRPr="008E17C8" w:rsidRDefault="00D41C60" w:rsidP="00B06E6D">
            <w:pPr>
              <w:jc w:val="both"/>
              <w:rPr>
                <w:rFonts w:ascii="Times New Roman" w:hAnsi="Times New Roman" w:cs="Times New Roman"/>
                <w:sz w:val="20"/>
                <w:szCs w:val="20"/>
              </w:rPr>
            </w:pPr>
          </w:p>
        </w:tc>
        <w:tc>
          <w:tcPr>
            <w:tcW w:w="1427" w:type="dxa"/>
          </w:tcPr>
          <w:p w14:paraId="3091886C" w14:textId="77777777" w:rsidR="00D41C60" w:rsidRPr="008E17C8" w:rsidRDefault="00D41C60" w:rsidP="00B06E6D">
            <w:pPr>
              <w:jc w:val="both"/>
              <w:rPr>
                <w:rFonts w:ascii="Times New Roman" w:hAnsi="Times New Roman" w:cs="Times New Roman"/>
                <w:sz w:val="20"/>
                <w:szCs w:val="20"/>
              </w:rPr>
            </w:pPr>
          </w:p>
        </w:tc>
      </w:tr>
      <w:tr w:rsidR="00B06E6D" w:rsidRPr="008E17C8" w14:paraId="5FAEAB27" w14:textId="77777777" w:rsidTr="00B06E6D">
        <w:tc>
          <w:tcPr>
            <w:tcW w:w="419" w:type="dxa"/>
          </w:tcPr>
          <w:p w14:paraId="4B81A6E8"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5</w:t>
            </w:r>
          </w:p>
        </w:tc>
        <w:tc>
          <w:tcPr>
            <w:tcW w:w="1100" w:type="dxa"/>
          </w:tcPr>
          <w:p w14:paraId="47ECF7CF" w14:textId="77777777" w:rsidR="00D41C60" w:rsidRPr="008E17C8" w:rsidRDefault="00D41C60" w:rsidP="00D41C60">
            <w:pPr>
              <w:pStyle w:val="Default"/>
              <w:rPr>
                <w:sz w:val="18"/>
                <w:szCs w:val="20"/>
              </w:rPr>
            </w:pPr>
            <w:r w:rsidRPr="008E17C8">
              <w:rPr>
                <w:iCs/>
                <w:sz w:val="18"/>
                <w:szCs w:val="20"/>
              </w:rPr>
              <w:t xml:space="preserve">Inne instytucje finansowe </w:t>
            </w:r>
          </w:p>
          <w:p w14:paraId="68EB9EC2" w14:textId="77777777" w:rsidR="00D41C60" w:rsidRPr="008E17C8" w:rsidRDefault="00D41C60" w:rsidP="00D41C60">
            <w:pPr>
              <w:rPr>
                <w:rFonts w:ascii="Times New Roman" w:hAnsi="Times New Roman" w:cs="Times New Roman"/>
                <w:sz w:val="18"/>
                <w:szCs w:val="20"/>
              </w:rPr>
            </w:pPr>
          </w:p>
        </w:tc>
        <w:tc>
          <w:tcPr>
            <w:tcW w:w="597" w:type="dxa"/>
          </w:tcPr>
          <w:p w14:paraId="32365B29" w14:textId="77777777" w:rsidR="00D41C60" w:rsidRPr="008E17C8" w:rsidRDefault="00D41C60" w:rsidP="00B06E6D">
            <w:pPr>
              <w:jc w:val="both"/>
              <w:rPr>
                <w:rFonts w:ascii="Times New Roman" w:hAnsi="Times New Roman" w:cs="Times New Roman"/>
                <w:sz w:val="20"/>
                <w:szCs w:val="20"/>
              </w:rPr>
            </w:pPr>
          </w:p>
        </w:tc>
        <w:tc>
          <w:tcPr>
            <w:tcW w:w="1446" w:type="dxa"/>
            <w:gridSpan w:val="2"/>
          </w:tcPr>
          <w:p w14:paraId="6A53EFD6" w14:textId="77777777" w:rsidR="00D41C60" w:rsidRPr="008E17C8" w:rsidRDefault="00D41C60" w:rsidP="00B06E6D">
            <w:pPr>
              <w:jc w:val="both"/>
              <w:rPr>
                <w:rFonts w:ascii="Times New Roman" w:hAnsi="Times New Roman" w:cs="Times New Roman"/>
                <w:sz w:val="20"/>
                <w:szCs w:val="20"/>
              </w:rPr>
            </w:pPr>
          </w:p>
        </w:tc>
        <w:tc>
          <w:tcPr>
            <w:tcW w:w="1274" w:type="dxa"/>
          </w:tcPr>
          <w:p w14:paraId="3124CA92" w14:textId="77777777" w:rsidR="00D41C60" w:rsidRPr="008E17C8" w:rsidRDefault="00D41C60" w:rsidP="00B06E6D">
            <w:pPr>
              <w:jc w:val="both"/>
              <w:rPr>
                <w:rFonts w:ascii="Times New Roman" w:hAnsi="Times New Roman" w:cs="Times New Roman"/>
                <w:sz w:val="20"/>
                <w:szCs w:val="20"/>
              </w:rPr>
            </w:pPr>
          </w:p>
        </w:tc>
        <w:tc>
          <w:tcPr>
            <w:tcW w:w="537" w:type="dxa"/>
          </w:tcPr>
          <w:p w14:paraId="6B7C171B" w14:textId="77777777" w:rsidR="00D41C60" w:rsidRPr="008E17C8" w:rsidRDefault="00D41C60" w:rsidP="00B06E6D">
            <w:pPr>
              <w:jc w:val="both"/>
              <w:rPr>
                <w:rFonts w:ascii="Times New Roman" w:hAnsi="Times New Roman" w:cs="Times New Roman"/>
                <w:sz w:val="20"/>
                <w:szCs w:val="20"/>
              </w:rPr>
            </w:pPr>
          </w:p>
        </w:tc>
        <w:tc>
          <w:tcPr>
            <w:tcW w:w="1417" w:type="dxa"/>
            <w:gridSpan w:val="2"/>
          </w:tcPr>
          <w:p w14:paraId="128F5F5F" w14:textId="77777777" w:rsidR="00D41C60" w:rsidRPr="008E17C8" w:rsidRDefault="00D41C60" w:rsidP="00B06E6D">
            <w:pPr>
              <w:jc w:val="both"/>
              <w:rPr>
                <w:rFonts w:ascii="Times New Roman" w:hAnsi="Times New Roman" w:cs="Times New Roman"/>
                <w:sz w:val="20"/>
                <w:szCs w:val="20"/>
              </w:rPr>
            </w:pPr>
          </w:p>
        </w:tc>
        <w:tc>
          <w:tcPr>
            <w:tcW w:w="843" w:type="dxa"/>
          </w:tcPr>
          <w:p w14:paraId="214A7D08" w14:textId="77777777" w:rsidR="00D41C60" w:rsidRPr="008E17C8" w:rsidRDefault="00D41C60" w:rsidP="00B06E6D">
            <w:pPr>
              <w:jc w:val="both"/>
              <w:rPr>
                <w:rFonts w:ascii="Times New Roman" w:hAnsi="Times New Roman" w:cs="Times New Roman"/>
                <w:sz w:val="20"/>
                <w:szCs w:val="20"/>
              </w:rPr>
            </w:pPr>
          </w:p>
        </w:tc>
        <w:tc>
          <w:tcPr>
            <w:tcW w:w="1000" w:type="dxa"/>
          </w:tcPr>
          <w:p w14:paraId="41AB5441" w14:textId="77777777" w:rsidR="00D41C60" w:rsidRPr="008E17C8" w:rsidRDefault="00D41C60" w:rsidP="00B06E6D">
            <w:pPr>
              <w:jc w:val="both"/>
              <w:rPr>
                <w:rFonts w:ascii="Times New Roman" w:hAnsi="Times New Roman" w:cs="Times New Roman"/>
                <w:sz w:val="20"/>
                <w:szCs w:val="20"/>
              </w:rPr>
            </w:pPr>
          </w:p>
        </w:tc>
        <w:tc>
          <w:tcPr>
            <w:tcW w:w="992" w:type="dxa"/>
          </w:tcPr>
          <w:p w14:paraId="64CC0BDE" w14:textId="77777777" w:rsidR="00D41C60" w:rsidRPr="008E17C8" w:rsidRDefault="00D41C60" w:rsidP="00B06E6D">
            <w:pPr>
              <w:jc w:val="both"/>
              <w:rPr>
                <w:rFonts w:ascii="Times New Roman" w:hAnsi="Times New Roman" w:cs="Times New Roman"/>
                <w:sz w:val="20"/>
                <w:szCs w:val="20"/>
              </w:rPr>
            </w:pPr>
          </w:p>
        </w:tc>
        <w:tc>
          <w:tcPr>
            <w:tcW w:w="993" w:type="dxa"/>
          </w:tcPr>
          <w:p w14:paraId="02F01DB7"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6A6A6"/>
          </w:tcPr>
          <w:p w14:paraId="50B0B5B1"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6A6A6"/>
          </w:tcPr>
          <w:p w14:paraId="26373AB2" w14:textId="77777777" w:rsidR="00D41C60" w:rsidRPr="008E17C8" w:rsidRDefault="00D41C60" w:rsidP="00B06E6D">
            <w:pPr>
              <w:jc w:val="both"/>
              <w:rPr>
                <w:rFonts w:ascii="Times New Roman" w:hAnsi="Times New Roman" w:cs="Times New Roman"/>
                <w:sz w:val="20"/>
                <w:szCs w:val="20"/>
              </w:rPr>
            </w:pPr>
          </w:p>
        </w:tc>
        <w:tc>
          <w:tcPr>
            <w:tcW w:w="1427" w:type="dxa"/>
          </w:tcPr>
          <w:p w14:paraId="2FD37EA7" w14:textId="77777777" w:rsidR="00D41C60" w:rsidRPr="008E17C8" w:rsidRDefault="00D41C60" w:rsidP="00B06E6D">
            <w:pPr>
              <w:jc w:val="both"/>
              <w:rPr>
                <w:rFonts w:ascii="Times New Roman" w:hAnsi="Times New Roman" w:cs="Times New Roman"/>
                <w:sz w:val="20"/>
                <w:szCs w:val="20"/>
              </w:rPr>
            </w:pPr>
          </w:p>
        </w:tc>
      </w:tr>
      <w:tr w:rsidR="00B06E6D" w:rsidRPr="008E17C8" w14:paraId="02530DEF" w14:textId="77777777" w:rsidTr="00B06E6D">
        <w:tc>
          <w:tcPr>
            <w:tcW w:w="419" w:type="dxa"/>
          </w:tcPr>
          <w:p w14:paraId="4AE8D2E1"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6</w:t>
            </w:r>
          </w:p>
        </w:tc>
        <w:tc>
          <w:tcPr>
            <w:tcW w:w="1100" w:type="dxa"/>
          </w:tcPr>
          <w:p w14:paraId="60EEE82A" w14:textId="77777777" w:rsidR="00D41C60" w:rsidRPr="008E17C8" w:rsidRDefault="00D41C60" w:rsidP="00D41C60">
            <w:pPr>
              <w:pStyle w:val="Default"/>
              <w:rPr>
                <w:sz w:val="18"/>
                <w:szCs w:val="20"/>
              </w:rPr>
            </w:pPr>
            <w:r w:rsidRPr="008E17C8">
              <w:rPr>
                <w:iCs/>
                <w:sz w:val="18"/>
                <w:szCs w:val="20"/>
              </w:rPr>
              <w:t xml:space="preserve">Przedsiębiorstwa niefinansowe </w:t>
            </w:r>
          </w:p>
          <w:p w14:paraId="484D78B6" w14:textId="77777777" w:rsidR="00D41C60" w:rsidRPr="008E17C8" w:rsidRDefault="00D41C60" w:rsidP="00D41C60">
            <w:pPr>
              <w:rPr>
                <w:rFonts w:ascii="Times New Roman" w:hAnsi="Times New Roman" w:cs="Times New Roman"/>
                <w:sz w:val="18"/>
                <w:szCs w:val="20"/>
              </w:rPr>
            </w:pPr>
          </w:p>
        </w:tc>
        <w:tc>
          <w:tcPr>
            <w:tcW w:w="597" w:type="dxa"/>
          </w:tcPr>
          <w:p w14:paraId="5F1CB5B5" w14:textId="77777777" w:rsidR="00D41C60" w:rsidRPr="008E17C8" w:rsidRDefault="00D41C60" w:rsidP="00B06E6D">
            <w:pPr>
              <w:jc w:val="both"/>
              <w:rPr>
                <w:rFonts w:ascii="Times New Roman" w:hAnsi="Times New Roman" w:cs="Times New Roman"/>
                <w:sz w:val="20"/>
                <w:szCs w:val="20"/>
              </w:rPr>
            </w:pPr>
          </w:p>
        </w:tc>
        <w:tc>
          <w:tcPr>
            <w:tcW w:w="1446" w:type="dxa"/>
            <w:gridSpan w:val="2"/>
          </w:tcPr>
          <w:p w14:paraId="6B73C78E" w14:textId="77777777" w:rsidR="00D41C60" w:rsidRPr="008E17C8" w:rsidRDefault="00D41C60" w:rsidP="00B06E6D">
            <w:pPr>
              <w:jc w:val="both"/>
              <w:rPr>
                <w:rFonts w:ascii="Times New Roman" w:hAnsi="Times New Roman" w:cs="Times New Roman"/>
                <w:sz w:val="20"/>
                <w:szCs w:val="20"/>
              </w:rPr>
            </w:pPr>
          </w:p>
        </w:tc>
        <w:tc>
          <w:tcPr>
            <w:tcW w:w="1274" w:type="dxa"/>
          </w:tcPr>
          <w:p w14:paraId="53BB7484" w14:textId="77777777" w:rsidR="00D41C60" w:rsidRPr="008E17C8" w:rsidRDefault="00D41C60" w:rsidP="00B06E6D">
            <w:pPr>
              <w:jc w:val="both"/>
              <w:rPr>
                <w:rFonts w:ascii="Times New Roman" w:hAnsi="Times New Roman" w:cs="Times New Roman"/>
                <w:sz w:val="20"/>
                <w:szCs w:val="20"/>
              </w:rPr>
            </w:pPr>
          </w:p>
        </w:tc>
        <w:tc>
          <w:tcPr>
            <w:tcW w:w="537" w:type="dxa"/>
          </w:tcPr>
          <w:p w14:paraId="5971D560" w14:textId="77777777" w:rsidR="00D41C60" w:rsidRPr="008E17C8" w:rsidRDefault="00D41C60" w:rsidP="00B06E6D">
            <w:pPr>
              <w:jc w:val="both"/>
              <w:rPr>
                <w:rFonts w:ascii="Times New Roman" w:hAnsi="Times New Roman" w:cs="Times New Roman"/>
                <w:sz w:val="20"/>
                <w:szCs w:val="20"/>
              </w:rPr>
            </w:pPr>
          </w:p>
        </w:tc>
        <w:tc>
          <w:tcPr>
            <w:tcW w:w="1417" w:type="dxa"/>
            <w:gridSpan w:val="2"/>
          </w:tcPr>
          <w:p w14:paraId="7F13B384" w14:textId="77777777" w:rsidR="00D41C60" w:rsidRPr="008E17C8" w:rsidRDefault="00D41C60" w:rsidP="00B06E6D">
            <w:pPr>
              <w:jc w:val="both"/>
              <w:rPr>
                <w:rFonts w:ascii="Times New Roman" w:hAnsi="Times New Roman" w:cs="Times New Roman"/>
                <w:sz w:val="20"/>
                <w:szCs w:val="20"/>
              </w:rPr>
            </w:pPr>
          </w:p>
        </w:tc>
        <w:tc>
          <w:tcPr>
            <w:tcW w:w="843" w:type="dxa"/>
          </w:tcPr>
          <w:p w14:paraId="31DAC185" w14:textId="77777777" w:rsidR="00D41C60" w:rsidRPr="008E17C8" w:rsidRDefault="00D41C60" w:rsidP="00B06E6D">
            <w:pPr>
              <w:jc w:val="both"/>
              <w:rPr>
                <w:rFonts w:ascii="Times New Roman" w:hAnsi="Times New Roman" w:cs="Times New Roman"/>
                <w:sz w:val="20"/>
                <w:szCs w:val="20"/>
              </w:rPr>
            </w:pPr>
          </w:p>
        </w:tc>
        <w:tc>
          <w:tcPr>
            <w:tcW w:w="1000" w:type="dxa"/>
          </w:tcPr>
          <w:p w14:paraId="303EDAD1" w14:textId="77777777" w:rsidR="00D41C60" w:rsidRPr="008E17C8" w:rsidRDefault="00D41C60" w:rsidP="00B06E6D">
            <w:pPr>
              <w:jc w:val="both"/>
              <w:rPr>
                <w:rFonts w:ascii="Times New Roman" w:hAnsi="Times New Roman" w:cs="Times New Roman"/>
                <w:sz w:val="20"/>
                <w:szCs w:val="20"/>
              </w:rPr>
            </w:pPr>
          </w:p>
        </w:tc>
        <w:tc>
          <w:tcPr>
            <w:tcW w:w="992" w:type="dxa"/>
          </w:tcPr>
          <w:p w14:paraId="765D530C" w14:textId="77777777" w:rsidR="00D41C60" w:rsidRPr="008E17C8" w:rsidRDefault="00D41C60" w:rsidP="00B06E6D">
            <w:pPr>
              <w:jc w:val="both"/>
              <w:rPr>
                <w:rFonts w:ascii="Times New Roman" w:hAnsi="Times New Roman" w:cs="Times New Roman"/>
                <w:sz w:val="20"/>
                <w:szCs w:val="20"/>
              </w:rPr>
            </w:pPr>
          </w:p>
        </w:tc>
        <w:tc>
          <w:tcPr>
            <w:tcW w:w="993" w:type="dxa"/>
          </w:tcPr>
          <w:p w14:paraId="7547EC5E"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6A6A6"/>
          </w:tcPr>
          <w:p w14:paraId="6343B979"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6A6A6"/>
          </w:tcPr>
          <w:p w14:paraId="382F4361" w14:textId="77777777" w:rsidR="00D41C60" w:rsidRPr="008E17C8" w:rsidRDefault="00D41C60" w:rsidP="00B06E6D">
            <w:pPr>
              <w:jc w:val="both"/>
              <w:rPr>
                <w:rFonts w:ascii="Times New Roman" w:hAnsi="Times New Roman" w:cs="Times New Roman"/>
                <w:sz w:val="20"/>
                <w:szCs w:val="20"/>
              </w:rPr>
            </w:pPr>
          </w:p>
        </w:tc>
        <w:tc>
          <w:tcPr>
            <w:tcW w:w="1427" w:type="dxa"/>
          </w:tcPr>
          <w:p w14:paraId="0838B3B6" w14:textId="77777777" w:rsidR="00D41C60" w:rsidRPr="008E17C8" w:rsidRDefault="00D41C60" w:rsidP="00B06E6D">
            <w:pPr>
              <w:jc w:val="both"/>
              <w:rPr>
                <w:rFonts w:ascii="Times New Roman" w:hAnsi="Times New Roman" w:cs="Times New Roman"/>
                <w:sz w:val="20"/>
                <w:szCs w:val="20"/>
              </w:rPr>
            </w:pPr>
          </w:p>
        </w:tc>
      </w:tr>
      <w:tr w:rsidR="00B06E6D" w:rsidRPr="008E17C8" w14:paraId="5204CA14" w14:textId="77777777" w:rsidTr="00B06E6D">
        <w:tc>
          <w:tcPr>
            <w:tcW w:w="419" w:type="dxa"/>
          </w:tcPr>
          <w:p w14:paraId="474A41DF"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lastRenderedPageBreak/>
              <w:t>7</w:t>
            </w:r>
          </w:p>
        </w:tc>
        <w:tc>
          <w:tcPr>
            <w:tcW w:w="1100" w:type="dxa"/>
          </w:tcPr>
          <w:p w14:paraId="06CDDCC3" w14:textId="77777777" w:rsidR="00D41C60" w:rsidRPr="008E17C8" w:rsidRDefault="00D41C60" w:rsidP="00D41C60">
            <w:pPr>
              <w:pStyle w:val="Default"/>
              <w:rPr>
                <w:sz w:val="18"/>
                <w:szCs w:val="20"/>
              </w:rPr>
            </w:pPr>
            <w:r w:rsidRPr="008E17C8">
              <w:rPr>
                <w:iCs/>
                <w:sz w:val="18"/>
                <w:szCs w:val="20"/>
              </w:rPr>
              <w:t xml:space="preserve">W tym MŚP </w:t>
            </w:r>
          </w:p>
          <w:p w14:paraId="229AD9AB" w14:textId="77777777" w:rsidR="00D41C60" w:rsidRPr="008E17C8" w:rsidRDefault="00D41C60" w:rsidP="00D41C60">
            <w:pPr>
              <w:rPr>
                <w:rFonts w:ascii="Times New Roman" w:hAnsi="Times New Roman" w:cs="Times New Roman"/>
                <w:sz w:val="18"/>
                <w:szCs w:val="20"/>
              </w:rPr>
            </w:pPr>
          </w:p>
        </w:tc>
        <w:tc>
          <w:tcPr>
            <w:tcW w:w="597" w:type="dxa"/>
          </w:tcPr>
          <w:p w14:paraId="299D2AC5" w14:textId="77777777" w:rsidR="00D41C60" w:rsidRPr="008E17C8" w:rsidRDefault="00D41C60" w:rsidP="00B06E6D">
            <w:pPr>
              <w:jc w:val="both"/>
              <w:rPr>
                <w:rFonts w:ascii="Times New Roman" w:hAnsi="Times New Roman" w:cs="Times New Roman"/>
                <w:sz w:val="20"/>
                <w:szCs w:val="20"/>
              </w:rPr>
            </w:pPr>
          </w:p>
        </w:tc>
        <w:tc>
          <w:tcPr>
            <w:tcW w:w="1446" w:type="dxa"/>
            <w:gridSpan w:val="2"/>
          </w:tcPr>
          <w:p w14:paraId="0D7EA382" w14:textId="77777777" w:rsidR="00D41C60" w:rsidRPr="008E17C8" w:rsidRDefault="00D41C60" w:rsidP="00B06E6D">
            <w:pPr>
              <w:jc w:val="both"/>
              <w:rPr>
                <w:rFonts w:ascii="Times New Roman" w:hAnsi="Times New Roman" w:cs="Times New Roman"/>
                <w:sz w:val="20"/>
                <w:szCs w:val="20"/>
              </w:rPr>
            </w:pPr>
          </w:p>
        </w:tc>
        <w:tc>
          <w:tcPr>
            <w:tcW w:w="1274" w:type="dxa"/>
          </w:tcPr>
          <w:p w14:paraId="4E5360D5" w14:textId="77777777" w:rsidR="00D41C60" w:rsidRPr="008E17C8" w:rsidRDefault="00D41C60" w:rsidP="00B06E6D">
            <w:pPr>
              <w:jc w:val="both"/>
              <w:rPr>
                <w:rFonts w:ascii="Times New Roman" w:hAnsi="Times New Roman" w:cs="Times New Roman"/>
                <w:sz w:val="20"/>
                <w:szCs w:val="20"/>
              </w:rPr>
            </w:pPr>
          </w:p>
        </w:tc>
        <w:tc>
          <w:tcPr>
            <w:tcW w:w="537" w:type="dxa"/>
          </w:tcPr>
          <w:p w14:paraId="6FB6A477" w14:textId="77777777" w:rsidR="00D41C60" w:rsidRPr="008E17C8" w:rsidRDefault="00D41C60" w:rsidP="00B06E6D">
            <w:pPr>
              <w:jc w:val="both"/>
              <w:rPr>
                <w:rFonts w:ascii="Times New Roman" w:hAnsi="Times New Roman" w:cs="Times New Roman"/>
                <w:sz w:val="20"/>
                <w:szCs w:val="20"/>
              </w:rPr>
            </w:pPr>
          </w:p>
        </w:tc>
        <w:tc>
          <w:tcPr>
            <w:tcW w:w="1417" w:type="dxa"/>
            <w:gridSpan w:val="2"/>
          </w:tcPr>
          <w:p w14:paraId="4CD0684F" w14:textId="77777777" w:rsidR="00D41C60" w:rsidRPr="008E17C8" w:rsidRDefault="00D41C60" w:rsidP="00B06E6D">
            <w:pPr>
              <w:jc w:val="both"/>
              <w:rPr>
                <w:rFonts w:ascii="Times New Roman" w:hAnsi="Times New Roman" w:cs="Times New Roman"/>
                <w:sz w:val="20"/>
                <w:szCs w:val="20"/>
              </w:rPr>
            </w:pPr>
          </w:p>
        </w:tc>
        <w:tc>
          <w:tcPr>
            <w:tcW w:w="843" w:type="dxa"/>
          </w:tcPr>
          <w:p w14:paraId="723E7AEF" w14:textId="77777777" w:rsidR="00D41C60" w:rsidRPr="008E17C8" w:rsidRDefault="00D41C60" w:rsidP="00B06E6D">
            <w:pPr>
              <w:jc w:val="both"/>
              <w:rPr>
                <w:rFonts w:ascii="Times New Roman" w:hAnsi="Times New Roman" w:cs="Times New Roman"/>
                <w:sz w:val="20"/>
                <w:szCs w:val="20"/>
              </w:rPr>
            </w:pPr>
          </w:p>
        </w:tc>
        <w:tc>
          <w:tcPr>
            <w:tcW w:w="1000" w:type="dxa"/>
          </w:tcPr>
          <w:p w14:paraId="61FF13AA" w14:textId="77777777" w:rsidR="00D41C60" w:rsidRPr="008E17C8" w:rsidRDefault="00D41C60" w:rsidP="00B06E6D">
            <w:pPr>
              <w:jc w:val="both"/>
              <w:rPr>
                <w:rFonts w:ascii="Times New Roman" w:hAnsi="Times New Roman" w:cs="Times New Roman"/>
                <w:sz w:val="20"/>
                <w:szCs w:val="20"/>
              </w:rPr>
            </w:pPr>
          </w:p>
        </w:tc>
        <w:tc>
          <w:tcPr>
            <w:tcW w:w="992" w:type="dxa"/>
          </w:tcPr>
          <w:p w14:paraId="11A24FE1" w14:textId="77777777" w:rsidR="00D41C60" w:rsidRPr="008E17C8" w:rsidRDefault="00D41C60" w:rsidP="00B06E6D">
            <w:pPr>
              <w:jc w:val="both"/>
              <w:rPr>
                <w:rFonts w:ascii="Times New Roman" w:hAnsi="Times New Roman" w:cs="Times New Roman"/>
                <w:sz w:val="20"/>
                <w:szCs w:val="20"/>
              </w:rPr>
            </w:pPr>
          </w:p>
        </w:tc>
        <w:tc>
          <w:tcPr>
            <w:tcW w:w="993" w:type="dxa"/>
          </w:tcPr>
          <w:p w14:paraId="1ADF2C87"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6A6A6"/>
          </w:tcPr>
          <w:p w14:paraId="7EBBFCF3"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6A6A6"/>
          </w:tcPr>
          <w:p w14:paraId="0CE3E22D" w14:textId="77777777" w:rsidR="00D41C60" w:rsidRPr="008E17C8" w:rsidRDefault="00D41C60" w:rsidP="00B06E6D">
            <w:pPr>
              <w:jc w:val="both"/>
              <w:rPr>
                <w:rFonts w:ascii="Times New Roman" w:hAnsi="Times New Roman" w:cs="Times New Roman"/>
                <w:sz w:val="20"/>
                <w:szCs w:val="20"/>
              </w:rPr>
            </w:pPr>
          </w:p>
        </w:tc>
        <w:tc>
          <w:tcPr>
            <w:tcW w:w="1427" w:type="dxa"/>
          </w:tcPr>
          <w:p w14:paraId="1D68A168" w14:textId="77777777" w:rsidR="00D41C60" w:rsidRPr="008E17C8" w:rsidRDefault="00D41C60" w:rsidP="00B06E6D">
            <w:pPr>
              <w:jc w:val="both"/>
              <w:rPr>
                <w:rFonts w:ascii="Times New Roman" w:hAnsi="Times New Roman" w:cs="Times New Roman"/>
                <w:sz w:val="20"/>
                <w:szCs w:val="20"/>
              </w:rPr>
            </w:pPr>
          </w:p>
        </w:tc>
      </w:tr>
      <w:tr w:rsidR="00B06E6D" w:rsidRPr="008E17C8" w14:paraId="40D88150" w14:textId="77777777" w:rsidTr="00B06E6D">
        <w:tc>
          <w:tcPr>
            <w:tcW w:w="419" w:type="dxa"/>
          </w:tcPr>
          <w:p w14:paraId="1CC93D0E"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8</w:t>
            </w:r>
          </w:p>
        </w:tc>
        <w:tc>
          <w:tcPr>
            <w:tcW w:w="1100" w:type="dxa"/>
          </w:tcPr>
          <w:p w14:paraId="6F38091E" w14:textId="77777777" w:rsidR="00D41C60" w:rsidRPr="008E17C8" w:rsidRDefault="00D41C60" w:rsidP="00D41C60">
            <w:pPr>
              <w:pStyle w:val="Default"/>
              <w:rPr>
                <w:sz w:val="18"/>
                <w:szCs w:val="20"/>
              </w:rPr>
            </w:pPr>
            <w:r w:rsidRPr="008E17C8">
              <w:rPr>
                <w:iCs/>
                <w:sz w:val="18"/>
                <w:szCs w:val="20"/>
              </w:rPr>
              <w:t xml:space="preserve">Gospodarstwa domowe </w:t>
            </w:r>
          </w:p>
          <w:p w14:paraId="53C2A53B" w14:textId="77777777" w:rsidR="00D41C60" w:rsidRPr="008E17C8" w:rsidRDefault="00D41C60" w:rsidP="00D41C60">
            <w:pPr>
              <w:rPr>
                <w:rFonts w:ascii="Times New Roman" w:hAnsi="Times New Roman" w:cs="Times New Roman"/>
                <w:sz w:val="18"/>
                <w:szCs w:val="20"/>
              </w:rPr>
            </w:pPr>
          </w:p>
        </w:tc>
        <w:tc>
          <w:tcPr>
            <w:tcW w:w="597" w:type="dxa"/>
          </w:tcPr>
          <w:p w14:paraId="6D49A079" w14:textId="77777777" w:rsidR="00D41C60" w:rsidRPr="008E17C8" w:rsidRDefault="00D41C60" w:rsidP="00B06E6D">
            <w:pPr>
              <w:jc w:val="both"/>
              <w:rPr>
                <w:rFonts w:ascii="Times New Roman" w:hAnsi="Times New Roman" w:cs="Times New Roman"/>
                <w:sz w:val="20"/>
                <w:szCs w:val="20"/>
              </w:rPr>
            </w:pPr>
          </w:p>
        </w:tc>
        <w:tc>
          <w:tcPr>
            <w:tcW w:w="1446" w:type="dxa"/>
            <w:gridSpan w:val="2"/>
          </w:tcPr>
          <w:p w14:paraId="3C9E2C35" w14:textId="77777777" w:rsidR="00D41C60" w:rsidRPr="008E17C8" w:rsidRDefault="00D41C60" w:rsidP="00B06E6D">
            <w:pPr>
              <w:jc w:val="both"/>
              <w:rPr>
                <w:rFonts w:ascii="Times New Roman" w:hAnsi="Times New Roman" w:cs="Times New Roman"/>
                <w:sz w:val="20"/>
                <w:szCs w:val="20"/>
              </w:rPr>
            </w:pPr>
          </w:p>
        </w:tc>
        <w:tc>
          <w:tcPr>
            <w:tcW w:w="1274" w:type="dxa"/>
          </w:tcPr>
          <w:p w14:paraId="1B12B69C" w14:textId="77777777" w:rsidR="00D41C60" w:rsidRPr="008E17C8" w:rsidRDefault="00D41C60" w:rsidP="00B06E6D">
            <w:pPr>
              <w:jc w:val="both"/>
              <w:rPr>
                <w:rFonts w:ascii="Times New Roman" w:hAnsi="Times New Roman" w:cs="Times New Roman"/>
                <w:sz w:val="20"/>
                <w:szCs w:val="20"/>
              </w:rPr>
            </w:pPr>
          </w:p>
        </w:tc>
        <w:tc>
          <w:tcPr>
            <w:tcW w:w="537" w:type="dxa"/>
          </w:tcPr>
          <w:p w14:paraId="37F451D8" w14:textId="77777777" w:rsidR="00D41C60" w:rsidRPr="008E17C8" w:rsidRDefault="00D41C60" w:rsidP="00B06E6D">
            <w:pPr>
              <w:jc w:val="both"/>
              <w:rPr>
                <w:rFonts w:ascii="Times New Roman" w:hAnsi="Times New Roman" w:cs="Times New Roman"/>
                <w:sz w:val="20"/>
                <w:szCs w:val="20"/>
              </w:rPr>
            </w:pPr>
          </w:p>
        </w:tc>
        <w:tc>
          <w:tcPr>
            <w:tcW w:w="1417" w:type="dxa"/>
            <w:gridSpan w:val="2"/>
          </w:tcPr>
          <w:p w14:paraId="32F496C6" w14:textId="77777777" w:rsidR="00D41C60" w:rsidRPr="008E17C8" w:rsidRDefault="00D41C60" w:rsidP="00B06E6D">
            <w:pPr>
              <w:jc w:val="both"/>
              <w:rPr>
                <w:rFonts w:ascii="Times New Roman" w:hAnsi="Times New Roman" w:cs="Times New Roman"/>
                <w:sz w:val="20"/>
                <w:szCs w:val="20"/>
              </w:rPr>
            </w:pPr>
          </w:p>
        </w:tc>
        <w:tc>
          <w:tcPr>
            <w:tcW w:w="843" w:type="dxa"/>
          </w:tcPr>
          <w:p w14:paraId="6C48F275" w14:textId="77777777" w:rsidR="00D41C60" w:rsidRPr="008E17C8" w:rsidRDefault="00D41C60" w:rsidP="00B06E6D">
            <w:pPr>
              <w:jc w:val="both"/>
              <w:rPr>
                <w:rFonts w:ascii="Times New Roman" w:hAnsi="Times New Roman" w:cs="Times New Roman"/>
                <w:sz w:val="20"/>
                <w:szCs w:val="20"/>
              </w:rPr>
            </w:pPr>
          </w:p>
        </w:tc>
        <w:tc>
          <w:tcPr>
            <w:tcW w:w="1000" w:type="dxa"/>
          </w:tcPr>
          <w:p w14:paraId="458A6C1D" w14:textId="77777777" w:rsidR="00D41C60" w:rsidRPr="008E17C8" w:rsidRDefault="00D41C60" w:rsidP="00B06E6D">
            <w:pPr>
              <w:jc w:val="both"/>
              <w:rPr>
                <w:rFonts w:ascii="Times New Roman" w:hAnsi="Times New Roman" w:cs="Times New Roman"/>
                <w:sz w:val="20"/>
                <w:szCs w:val="20"/>
              </w:rPr>
            </w:pPr>
          </w:p>
        </w:tc>
        <w:tc>
          <w:tcPr>
            <w:tcW w:w="992" w:type="dxa"/>
          </w:tcPr>
          <w:p w14:paraId="6A6266E1" w14:textId="77777777" w:rsidR="00D41C60" w:rsidRPr="008E17C8" w:rsidRDefault="00D41C60" w:rsidP="00B06E6D">
            <w:pPr>
              <w:jc w:val="both"/>
              <w:rPr>
                <w:rFonts w:ascii="Times New Roman" w:hAnsi="Times New Roman" w:cs="Times New Roman"/>
                <w:sz w:val="20"/>
                <w:szCs w:val="20"/>
              </w:rPr>
            </w:pPr>
          </w:p>
        </w:tc>
        <w:tc>
          <w:tcPr>
            <w:tcW w:w="993" w:type="dxa"/>
          </w:tcPr>
          <w:p w14:paraId="5C11B77A"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6A6A6"/>
          </w:tcPr>
          <w:p w14:paraId="2EB8B92F"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6A6A6"/>
          </w:tcPr>
          <w:p w14:paraId="7FA50F32" w14:textId="77777777" w:rsidR="00D41C60" w:rsidRPr="008E17C8" w:rsidRDefault="00D41C60" w:rsidP="00B06E6D">
            <w:pPr>
              <w:jc w:val="both"/>
              <w:rPr>
                <w:rFonts w:ascii="Times New Roman" w:hAnsi="Times New Roman" w:cs="Times New Roman"/>
                <w:sz w:val="20"/>
                <w:szCs w:val="20"/>
              </w:rPr>
            </w:pPr>
          </w:p>
        </w:tc>
        <w:tc>
          <w:tcPr>
            <w:tcW w:w="1427" w:type="dxa"/>
          </w:tcPr>
          <w:p w14:paraId="7A44EA2C" w14:textId="77777777" w:rsidR="00D41C60" w:rsidRPr="008E17C8" w:rsidRDefault="00D41C60" w:rsidP="00B06E6D">
            <w:pPr>
              <w:jc w:val="both"/>
              <w:rPr>
                <w:rFonts w:ascii="Times New Roman" w:hAnsi="Times New Roman" w:cs="Times New Roman"/>
                <w:sz w:val="20"/>
                <w:szCs w:val="20"/>
              </w:rPr>
            </w:pPr>
          </w:p>
        </w:tc>
      </w:tr>
      <w:tr w:rsidR="00B06E6D" w:rsidRPr="008E17C8" w14:paraId="14F6622D" w14:textId="77777777" w:rsidTr="00B06E6D">
        <w:tc>
          <w:tcPr>
            <w:tcW w:w="419" w:type="dxa"/>
          </w:tcPr>
          <w:p w14:paraId="4CE5A01F"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9</w:t>
            </w:r>
          </w:p>
        </w:tc>
        <w:tc>
          <w:tcPr>
            <w:tcW w:w="1100" w:type="dxa"/>
          </w:tcPr>
          <w:p w14:paraId="203C98BC" w14:textId="77777777" w:rsidR="00D41C60" w:rsidRPr="008E17C8" w:rsidRDefault="00D41C60" w:rsidP="00D41C60">
            <w:pPr>
              <w:rPr>
                <w:rFonts w:ascii="Times New Roman" w:hAnsi="Times New Roman" w:cs="Times New Roman"/>
                <w:sz w:val="18"/>
                <w:szCs w:val="20"/>
              </w:rPr>
            </w:pPr>
            <w:r w:rsidRPr="008E17C8">
              <w:rPr>
                <w:rFonts w:ascii="Times New Roman" w:hAnsi="Times New Roman" w:cs="Times New Roman"/>
                <w:sz w:val="18"/>
                <w:szCs w:val="20"/>
              </w:rPr>
              <w:t>Dłużne papiery wartościowe</w:t>
            </w:r>
          </w:p>
        </w:tc>
        <w:tc>
          <w:tcPr>
            <w:tcW w:w="597" w:type="dxa"/>
          </w:tcPr>
          <w:p w14:paraId="4FBC251C" w14:textId="77777777" w:rsidR="00D41C60" w:rsidRPr="008E17C8" w:rsidRDefault="00D41C60" w:rsidP="00B06E6D">
            <w:pPr>
              <w:jc w:val="both"/>
              <w:rPr>
                <w:rFonts w:ascii="Times New Roman" w:hAnsi="Times New Roman" w:cs="Times New Roman"/>
                <w:sz w:val="20"/>
                <w:szCs w:val="20"/>
              </w:rPr>
            </w:pPr>
          </w:p>
        </w:tc>
        <w:tc>
          <w:tcPr>
            <w:tcW w:w="1446" w:type="dxa"/>
            <w:gridSpan w:val="2"/>
          </w:tcPr>
          <w:p w14:paraId="7FE88194" w14:textId="77777777" w:rsidR="00D41C60" w:rsidRPr="008E17C8" w:rsidRDefault="00D41C60" w:rsidP="00B06E6D">
            <w:pPr>
              <w:jc w:val="both"/>
              <w:rPr>
                <w:rFonts w:ascii="Times New Roman" w:hAnsi="Times New Roman" w:cs="Times New Roman"/>
                <w:sz w:val="20"/>
                <w:szCs w:val="20"/>
              </w:rPr>
            </w:pPr>
          </w:p>
        </w:tc>
        <w:tc>
          <w:tcPr>
            <w:tcW w:w="1274" w:type="dxa"/>
          </w:tcPr>
          <w:p w14:paraId="15C005E0" w14:textId="77777777" w:rsidR="00D41C60" w:rsidRPr="008E17C8" w:rsidRDefault="00D41C60" w:rsidP="00B06E6D">
            <w:pPr>
              <w:jc w:val="both"/>
              <w:rPr>
                <w:rFonts w:ascii="Times New Roman" w:hAnsi="Times New Roman" w:cs="Times New Roman"/>
                <w:sz w:val="20"/>
                <w:szCs w:val="20"/>
              </w:rPr>
            </w:pPr>
          </w:p>
        </w:tc>
        <w:tc>
          <w:tcPr>
            <w:tcW w:w="537" w:type="dxa"/>
          </w:tcPr>
          <w:p w14:paraId="02AE26A4" w14:textId="77777777" w:rsidR="00D41C60" w:rsidRPr="008E17C8" w:rsidRDefault="00D41C60" w:rsidP="00B06E6D">
            <w:pPr>
              <w:jc w:val="both"/>
              <w:rPr>
                <w:rFonts w:ascii="Times New Roman" w:hAnsi="Times New Roman" w:cs="Times New Roman"/>
                <w:sz w:val="20"/>
                <w:szCs w:val="20"/>
              </w:rPr>
            </w:pPr>
          </w:p>
        </w:tc>
        <w:tc>
          <w:tcPr>
            <w:tcW w:w="1417" w:type="dxa"/>
            <w:gridSpan w:val="2"/>
          </w:tcPr>
          <w:p w14:paraId="6E0D00E5" w14:textId="77777777" w:rsidR="00D41C60" w:rsidRPr="008E17C8" w:rsidRDefault="00D41C60" w:rsidP="00B06E6D">
            <w:pPr>
              <w:jc w:val="both"/>
              <w:rPr>
                <w:rFonts w:ascii="Times New Roman" w:hAnsi="Times New Roman" w:cs="Times New Roman"/>
                <w:sz w:val="20"/>
                <w:szCs w:val="20"/>
              </w:rPr>
            </w:pPr>
          </w:p>
        </w:tc>
        <w:tc>
          <w:tcPr>
            <w:tcW w:w="843" w:type="dxa"/>
          </w:tcPr>
          <w:p w14:paraId="03E84E8E" w14:textId="77777777" w:rsidR="00D41C60" w:rsidRPr="008E17C8" w:rsidRDefault="00D41C60" w:rsidP="00B06E6D">
            <w:pPr>
              <w:jc w:val="both"/>
              <w:rPr>
                <w:rFonts w:ascii="Times New Roman" w:hAnsi="Times New Roman" w:cs="Times New Roman"/>
                <w:sz w:val="20"/>
                <w:szCs w:val="20"/>
              </w:rPr>
            </w:pPr>
          </w:p>
        </w:tc>
        <w:tc>
          <w:tcPr>
            <w:tcW w:w="1000" w:type="dxa"/>
          </w:tcPr>
          <w:p w14:paraId="021A3D49" w14:textId="77777777" w:rsidR="00D41C60" w:rsidRPr="008E17C8" w:rsidRDefault="00D41C60" w:rsidP="00B06E6D">
            <w:pPr>
              <w:jc w:val="both"/>
              <w:rPr>
                <w:rFonts w:ascii="Times New Roman" w:hAnsi="Times New Roman" w:cs="Times New Roman"/>
                <w:sz w:val="20"/>
                <w:szCs w:val="20"/>
              </w:rPr>
            </w:pPr>
          </w:p>
        </w:tc>
        <w:tc>
          <w:tcPr>
            <w:tcW w:w="992" w:type="dxa"/>
          </w:tcPr>
          <w:p w14:paraId="43ADC6A0" w14:textId="77777777" w:rsidR="00D41C60" w:rsidRPr="008E17C8" w:rsidRDefault="00D41C60" w:rsidP="00B06E6D">
            <w:pPr>
              <w:jc w:val="both"/>
              <w:rPr>
                <w:rFonts w:ascii="Times New Roman" w:hAnsi="Times New Roman" w:cs="Times New Roman"/>
                <w:sz w:val="20"/>
                <w:szCs w:val="20"/>
              </w:rPr>
            </w:pPr>
          </w:p>
        </w:tc>
        <w:tc>
          <w:tcPr>
            <w:tcW w:w="993" w:type="dxa"/>
          </w:tcPr>
          <w:p w14:paraId="7CA9CF4D"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6A6A6"/>
          </w:tcPr>
          <w:p w14:paraId="1982B263"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6A6A6"/>
          </w:tcPr>
          <w:p w14:paraId="46024BB8" w14:textId="77777777" w:rsidR="00D41C60" w:rsidRPr="008E17C8" w:rsidRDefault="00D41C60" w:rsidP="00B06E6D">
            <w:pPr>
              <w:jc w:val="both"/>
              <w:rPr>
                <w:rFonts w:ascii="Times New Roman" w:hAnsi="Times New Roman" w:cs="Times New Roman"/>
                <w:sz w:val="20"/>
                <w:szCs w:val="20"/>
              </w:rPr>
            </w:pPr>
          </w:p>
        </w:tc>
        <w:tc>
          <w:tcPr>
            <w:tcW w:w="1427" w:type="dxa"/>
          </w:tcPr>
          <w:p w14:paraId="611F9DD2" w14:textId="77777777" w:rsidR="00D41C60" w:rsidRPr="008E17C8" w:rsidRDefault="00D41C60" w:rsidP="00B06E6D">
            <w:pPr>
              <w:jc w:val="both"/>
              <w:rPr>
                <w:rFonts w:ascii="Times New Roman" w:hAnsi="Times New Roman" w:cs="Times New Roman"/>
                <w:sz w:val="20"/>
                <w:szCs w:val="20"/>
              </w:rPr>
            </w:pPr>
          </w:p>
        </w:tc>
      </w:tr>
      <w:tr w:rsidR="00B06E6D" w:rsidRPr="008E17C8" w14:paraId="4CE0E08F" w14:textId="77777777" w:rsidTr="00B06E6D">
        <w:tc>
          <w:tcPr>
            <w:tcW w:w="419" w:type="dxa"/>
          </w:tcPr>
          <w:p w14:paraId="4B210681"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10</w:t>
            </w:r>
          </w:p>
        </w:tc>
        <w:tc>
          <w:tcPr>
            <w:tcW w:w="1100" w:type="dxa"/>
          </w:tcPr>
          <w:p w14:paraId="4D035881" w14:textId="77777777" w:rsidR="00D41C60" w:rsidRPr="008E17C8" w:rsidRDefault="00D41C60" w:rsidP="00D41C60">
            <w:pPr>
              <w:pStyle w:val="Default"/>
              <w:rPr>
                <w:sz w:val="18"/>
                <w:szCs w:val="20"/>
              </w:rPr>
            </w:pPr>
            <w:r w:rsidRPr="008E17C8">
              <w:rPr>
                <w:iCs/>
                <w:sz w:val="18"/>
                <w:szCs w:val="20"/>
              </w:rPr>
              <w:t xml:space="preserve">Banki centralne </w:t>
            </w:r>
          </w:p>
          <w:p w14:paraId="14673E4F" w14:textId="77777777" w:rsidR="00D41C60" w:rsidRPr="008E17C8" w:rsidRDefault="00D41C60" w:rsidP="00D41C60">
            <w:pPr>
              <w:rPr>
                <w:rFonts w:ascii="Times New Roman" w:hAnsi="Times New Roman" w:cs="Times New Roman"/>
                <w:sz w:val="18"/>
                <w:szCs w:val="20"/>
              </w:rPr>
            </w:pPr>
          </w:p>
        </w:tc>
        <w:tc>
          <w:tcPr>
            <w:tcW w:w="597" w:type="dxa"/>
          </w:tcPr>
          <w:p w14:paraId="57CE1053" w14:textId="77777777" w:rsidR="00D41C60" w:rsidRPr="008E17C8" w:rsidRDefault="00D41C60" w:rsidP="00B06E6D">
            <w:pPr>
              <w:jc w:val="both"/>
              <w:rPr>
                <w:rFonts w:ascii="Times New Roman" w:hAnsi="Times New Roman" w:cs="Times New Roman"/>
                <w:sz w:val="20"/>
                <w:szCs w:val="20"/>
              </w:rPr>
            </w:pPr>
          </w:p>
        </w:tc>
        <w:tc>
          <w:tcPr>
            <w:tcW w:w="1446" w:type="dxa"/>
            <w:gridSpan w:val="2"/>
          </w:tcPr>
          <w:p w14:paraId="17551FC3" w14:textId="77777777" w:rsidR="00D41C60" w:rsidRPr="008E17C8" w:rsidRDefault="00D41C60" w:rsidP="00B06E6D">
            <w:pPr>
              <w:jc w:val="both"/>
              <w:rPr>
                <w:rFonts w:ascii="Times New Roman" w:hAnsi="Times New Roman" w:cs="Times New Roman"/>
                <w:sz w:val="20"/>
                <w:szCs w:val="20"/>
              </w:rPr>
            </w:pPr>
          </w:p>
        </w:tc>
        <w:tc>
          <w:tcPr>
            <w:tcW w:w="1274" w:type="dxa"/>
          </w:tcPr>
          <w:p w14:paraId="37B04CFD" w14:textId="77777777" w:rsidR="00D41C60" w:rsidRPr="008E17C8" w:rsidRDefault="00D41C60" w:rsidP="00B06E6D">
            <w:pPr>
              <w:jc w:val="both"/>
              <w:rPr>
                <w:rFonts w:ascii="Times New Roman" w:hAnsi="Times New Roman" w:cs="Times New Roman"/>
                <w:sz w:val="20"/>
                <w:szCs w:val="20"/>
              </w:rPr>
            </w:pPr>
          </w:p>
        </w:tc>
        <w:tc>
          <w:tcPr>
            <w:tcW w:w="537" w:type="dxa"/>
          </w:tcPr>
          <w:p w14:paraId="018654E4" w14:textId="77777777" w:rsidR="00D41C60" w:rsidRPr="008E17C8" w:rsidRDefault="00D41C60" w:rsidP="00B06E6D">
            <w:pPr>
              <w:jc w:val="both"/>
              <w:rPr>
                <w:rFonts w:ascii="Times New Roman" w:hAnsi="Times New Roman" w:cs="Times New Roman"/>
                <w:sz w:val="20"/>
                <w:szCs w:val="20"/>
              </w:rPr>
            </w:pPr>
          </w:p>
        </w:tc>
        <w:tc>
          <w:tcPr>
            <w:tcW w:w="1417" w:type="dxa"/>
            <w:gridSpan w:val="2"/>
          </w:tcPr>
          <w:p w14:paraId="19734D2D" w14:textId="77777777" w:rsidR="00D41C60" w:rsidRPr="008E17C8" w:rsidRDefault="00D41C60" w:rsidP="00B06E6D">
            <w:pPr>
              <w:jc w:val="both"/>
              <w:rPr>
                <w:rFonts w:ascii="Times New Roman" w:hAnsi="Times New Roman" w:cs="Times New Roman"/>
                <w:sz w:val="20"/>
                <w:szCs w:val="20"/>
              </w:rPr>
            </w:pPr>
          </w:p>
        </w:tc>
        <w:tc>
          <w:tcPr>
            <w:tcW w:w="843" w:type="dxa"/>
          </w:tcPr>
          <w:p w14:paraId="7764807A" w14:textId="77777777" w:rsidR="00D41C60" w:rsidRPr="008E17C8" w:rsidRDefault="00D41C60" w:rsidP="00B06E6D">
            <w:pPr>
              <w:jc w:val="both"/>
              <w:rPr>
                <w:rFonts w:ascii="Times New Roman" w:hAnsi="Times New Roman" w:cs="Times New Roman"/>
                <w:sz w:val="20"/>
                <w:szCs w:val="20"/>
              </w:rPr>
            </w:pPr>
          </w:p>
        </w:tc>
        <w:tc>
          <w:tcPr>
            <w:tcW w:w="1000" w:type="dxa"/>
          </w:tcPr>
          <w:p w14:paraId="65A1B873" w14:textId="77777777" w:rsidR="00D41C60" w:rsidRPr="008E17C8" w:rsidRDefault="00D41C60" w:rsidP="00B06E6D">
            <w:pPr>
              <w:jc w:val="both"/>
              <w:rPr>
                <w:rFonts w:ascii="Times New Roman" w:hAnsi="Times New Roman" w:cs="Times New Roman"/>
                <w:sz w:val="20"/>
                <w:szCs w:val="20"/>
              </w:rPr>
            </w:pPr>
          </w:p>
        </w:tc>
        <w:tc>
          <w:tcPr>
            <w:tcW w:w="992" w:type="dxa"/>
          </w:tcPr>
          <w:p w14:paraId="082DFA35" w14:textId="77777777" w:rsidR="00D41C60" w:rsidRPr="008E17C8" w:rsidRDefault="00D41C60" w:rsidP="00B06E6D">
            <w:pPr>
              <w:jc w:val="both"/>
              <w:rPr>
                <w:rFonts w:ascii="Times New Roman" w:hAnsi="Times New Roman" w:cs="Times New Roman"/>
                <w:sz w:val="20"/>
                <w:szCs w:val="20"/>
              </w:rPr>
            </w:pPr>
          </w:p>
        </w:tc>
        <w:tc>
          <w:tcPr>
            <w:tcW w:w="993" w:type="dxa"/>
          </w:tcPr>
          <w:p w14:paraId="66E48257"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6A6A6"/>
          </w:tcPr>
          <w:p w14:paraId="6769418F"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6A6A6"/>
          </w:tcPr>
          <w:p w14:paraId="4C04F1C0" w14:textId="77777777" w:rsidR="00D41C60" w:rsidRPr="008E17C8" w:rsidRDefault="00D41C60" w:rsidP="00B06E6D">
            <w:pPr>
              <w:jc w:val="both"/>
              <w:rPr>
                <w:rFonts w:ascii="Times New Roman" w:hAnsi="Times New Roman" w:cs="Times New Roman"/>
                <w:sz w:val="20"/>
                <w:szCs w:val="20"/>
              </w:rPr>
            </w:pPr>
          </w:p>
        </w:tc>
        <w:tc>
          <w:tcPr>
            <w:tcW w:w="1427" w:type="dxa"/>
          </w:tcPr>
          <w:p w14:paraId="74BB34AE" w14:textId="77777777" w:rsidR="00D41C60" w:rsidRPr="008E17C8" w:rsidRDefault="00D41C60" w:rsidP="00B06E6D">
            <w:pPr>
              <w:jc w:val="both"/>
              <w:rPr>
                <w:rFonts w:ascii="Times New Roman" w:hAnsi="Times New Roman" w:cs="Times New Roman"/>
                <w:sz w:val="20"/>
                <w:szCs w:val="20"/>
              </w:rPr>
            </w:pPr>
          </w:p>
        </w:tc>
      </w:tr>
      <w:tr w:rsidR="00B06E6D" w:rsidRPr="008E17C8" w14:paraId="46DF07B4" w14:textId="77777777" w:rsidTr="00B06E6D">
        <w:tc>
          <w:tcPr>
            <w:tcW w:w="419" w:type="dxa"/>
          </w:tcPr>
          <w:p w14:paraId="6A13B6C6"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11</w:t>
            </w:r>
          </w:p>
        </w:tc>
        <w:tc>
          <w:tcPr>
            <w:tcW w:w="1100" w:type="dxa"/>
          </w:tcPr>
          <w:p w14:paraId="1157A831" w14:textId="77777777" w:rsidR="00D41C60" w:rsidRPr="008E17C8" w:rsidRDefault="00D41C60" w:rsidP="00D41C60">
            <w:pPr>
              <w:pStyle w:val="Default"/>
              <w:rPr>
                <w:sz w:val="18"/>
                <w:szCs w:val="20"/>
              </w:rPr>
            </w:pPr>
            <w:r w:rsidRPr="008E17C8">
              <w:rPr>
                <w:iCs/>
                <w:sz w:val="18"/>
                <w:szCs w:val="20"/>
              </w:rPr>
              <w:t xml:space="preserve">Instytucje rządowe </w:t>
            </w:r>
          </w:p>
          <w:p w14:paraId="6ADC269B" w14:textId="77777777" w:rsidR="00D41C60" w:rsidRPr="008E17C8" w:rsidRDefault="00D41C60" w:rsidP="00D41C60">
            <w:pPr>
              <w:rPr>
                <w:rFonts w:ascii="Times New Roman" w:hAnsi="Times New Roman" w:cs="Times New Roman"/>
                <w:sz w:val="18"/>
                <w:szCs w:val="20"/>
              </w:rPr>
            </w:pPr>
          </w:p>
        </w:tc>
        <w:tc>
          <w:tcPr>
            <w:tcW w:w="597" w:type="dxa"/>
          </w:tcPr>
          <w:p w14:paraId="1AC1FB1A" w14:textId="77777777" w:rsidR="00D41C60" w:rsidRPr="008E17C8" w:rsidRDefault="00D41C60" w:rsidP="00B06E6D">
            <w:pPr>
              <w:jc w:val="both"/>
              <w:rPr>
                <w:rFonts w:ascii="Times New Roman" w:hAnsi="Times New Roman" w:cs="Times New Roman"/>
                <w:sz w:val="20"/>
                <w:szCs w:val="20"/>
              </w:rPr>
            </w:pPr>
          </w:p>
        </w:tc>
        <w:tc>
          <w:tcPr>
            <w:tcW w:w="1446" w:type="dxa"/>
            <w:gridSpan w:val="2"/>
          </w:tcPr>
          <w:p w14:paraId="1ECAD26A" w14:textId="77777777" w:rsidR="00D41C60" w:rsidRPr="008E17C8" w:rsidRDefault="00D41C60" w:rsidP="00B06E6D">
            <w:pPr>
              <w:jc w:val="both"/>
              <w:rPr>
                <w:rFonts w:ascii="Times New Roman" w:hAnsi="Times New Roman" w:cs="Times New Roman"/>
                <w:sz w:val="20"/>
                <w:szCs w:val="20"/>
              </w:rPr>
            </w:pPr>
          </w:p>
        </w:tc>
        <w:tc>
          <w:tcPr>
            <w:tcW w:w="1274" w:type="dxa"/>
          </w:tcPr>
          <w:p w14:paraId="65F6E84C" w14:textId="77777777" w:rsidR="00D41C60" w:rsidRPr="008E17C8" w:rsidRDefault="00D41C60" w:rsidP="00B06E6D">
            <w:pPr>
              <w:jc w:val="both"/>
              <w:rPr>
                <w:rFonts w:ascii="Times New Roman" w:hAnsi="Times New Roman" w:cs="Times New Roman"/>
                <w:sz w:val="20"/>
                <w:szCs w:val="20"/>
              </w:rPr>
            </w:pPr>
          </w:p>
        </w:tc>
        <w:tc>
          <w:tcPr>
            <w:tcW w:w="537" w:type="dxa"/>
          </w:tcPr>
          <w:p w14:paraId="4C3AA9DD" w14:textId="77777777" w:rsidR="00D41C60" w:rsidRPr="008E17C8" w:rsidRDefault="00D41C60" w:rsidP="00B06E6D">
            <w:pPr>
              <w:jc w:val="both"/>
              <w:rPr>
                <w:rFonts w:ascii="Times New Roman" w:hAnsi="Times New Roman" w:cs="Times New Roman"/>
                <w:sz w:val="20"/>
                <w:szCs w:val="20"/>
              </w:rPr>
            </w:pPr>
          </w:p>
        </w:tc>
        <w:tc>
          <w:tcPr>
            <w:tcW w:w="1417" w:type="dxa"/>
            <w:gridSpan w:val="2"/>
          </w:tcPr>
          <w:p w14:paraId="01935F9A" w14:textId="77777777" w:rsidR="00D41C60" w:rsidRPr="008E17C8" w:rsidRDefault="00D41C60" w:rsidP="00B06E6D">
            <w:pPr>
              <w:jc w:val="both"/>
              <w:rPr>
                <w:rFonts w:ascii="Times New Roman" w:hAnsi="Times New Roman" w:cs="Times New Roman"/>
                <w:sz w:val="20"/>
                <w:szCs w:val="20"/>
              </w:rPr>
            </w:pPr>
          </w:p>
        </w:tc>
        <w:tc>
          <w:tcPr>
            <w:tcW w:w="843" w:type="dxa"/>
          </w:tcPr>
          <w:p w14:paraId="0DC74208" w14:textId="77777777" w:rsidR="00D41C60" w:rsidRPr="008E17C8" w:rsidRDefault="00D41C60" w:rsidP="00B06E6D">
            <w:pPr>
              <w:jc w:val="both"/>
              <w:rPr>
                <w:rFonts w:ascii="Times New Roman" w:hAnsi="Times New Roman" w:cs="Times New Roman"/>
                <w:sz w:val="20"/>
                <w:szCs w:val="20"/>
              </w:rPr>
            </w:pPr>
          </w:p>
        </w:tc>
        <w:tc>
          <w:tcPr>
            <w:tcW w:w="1000" w:type="dxa"/>
          </w:tcPr>
          <w:p w14:paraId="303CF165" w14:textId="77777777" w:rsidR="00D41C60" w:rsidRPr="008E17C8" w:rsidRDefault="00D41C60" w:rsidP="00B06E6D">
            <w:pPr>
              <w:jc w:val="both"/>
              <w:rPr>
                <w:rFonts w:ascii="Times New Roman" w:hAnsi="Times New Roman" w:cs="Times New Roman"/>
                <w:sz w:val="20"/>
                <w:szCs w:val="20"/>
              </w:rPr>
            </w:pPr>
          </w:p>
        </w:tc>
        <w:tc>
          <w:tcPr>
            <w:tcW w:w="992" w:type="dxa"/>
          </w:tcPr>
          <w:p w14:paraId="2D056F6B" w14:textId="77777777" w:rsidR="00D41C60" w:rsidRPr="008E17C8" w:rsidRDefault="00D41C60" w:rsidP="00B06E6D">
            <w:pPr>
              <w:jc w:val="both"/>
              <w:rPr>
                <w:rFonts w:ascii="Times New Roman" w:hAnsi="Times New Roman" w:cs="Times New Roman"/>
                <w:sz w:val="20"/>
                <w:szCs w:val="20"/>
              </w:rPr>
            </w:pPr>
          </w:p>
        </w:tc>
        <w:tc>
          <w:tcPr>
            <w:tcW w:w="993" w:type="dxa"/>
          </w:tcPr>
          <w:p w14:paraId="44903526"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6A6A6"/>
          </w:tcPr>
          <w:p w14:paraId="6B53C9C2"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6A6A6"/>
          </w:tcPr>
          <w:p w14:paraId="086FFCA2" w14:textId="77777777" w:rsidR="00D41C60" w:rsidRPr="008E17C8" w:rsidRDefault="00D41C60" w:rsidP="00B06E6D">
            <w:pPr>
              <w:jc w:val="both"/>
              <w:rPr>
                <w:rFonts w:ascii="Times New Roman" w:hAnsi="Times New Roman" w:cs="Times New Roman"/>
                <w:sz w:val="20"/>
                <w:szCs w:val="20"/>
              </w:rPr>
            </w:pPr>
          </w:p>
        </w:tc>
        <w:tc>
          <w:tcPr>
            <w:tcW w:w="1427" w:type="dxa"/>
          </w:tcPr>
          <w:p w14:paraId="4B3B8EB8" w14:textId="77777777" w:rsidR="00D41C60" w:rsidRPr="008E17C8" w:rsidRDefault="00D41C60" w:rsidP="00B06E6D">
            <w:pPr>
              <w:jc w:val="both"/>
              <w:rPr>
                <w:rFonts w:ascii="Times New Roman" w:hAnsi="Times New Roman" w:cs="Times New Roman"/>
                <w:sz w:val="20"/>
                <w:szCs w:val="20"/>
              </w:rPr>
            </w:pPr>
          </w:p>
        </w:tc>
      </w:tr>
      <w:tr w:rsidR="00B06E6D" w:rsidRPr="008E17C8" w14:paraId="25D4A0E8" w14:textId="77777777" w:rsidTr="00B06E6D">
        <w:tc>
          <w:tcPr>
            <w:tcW w:w="419" w:type="dxa"/>
          </w:tcPr>
          <w:p w14:paraId="75375C94"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12</w:t>
            </w:r>
          </w:p>
        </w:tc>
        <w:tc>
          <w:tcPr>
            <w:tcW w:w="1100" w:type="dxa"/>
          </w:tcPr>
          <w:p w14:paraId="67E791F3" w14:textId="77777777" w:rsidR="00D41C60" w:rsidRPr="008E17C8" w:rsidRDefault="00D41C60" w:rsidP="00D41C60">
            <w:pPr>
              <w:pStyle w:val="Default"/>
              <w:rPr>
                <w:sz w:val="18"/>
                <w:szCs w:val="20"/>
              </w:rPr>
            </w:pPr>
            <w:r w:rsidRPr="008E17C8">
              <w:rPr>
                <w:iCs/>
                <w:sz w:val="18"/>
                <w:szCs w:val="20"/>
              </w:rPr>
              <w:t xml:space="preserve">Instytucje kredytowe </w:t>
            </w:r>
          </w:p>
          <w:p w14:paraId="39D6FE9B" w14:textId="77777777" w:rsidR="00D41C60" w:rsidRPr="008E17C8" w:rsidRDefault="00D41C60" w:rsidP="00D41C60">
            <w:pPr>
              <w:rPr>
                <w:rFonts w:ascii="Times New Roman" w:hAnsi="Times New Roman" w:cs="Times New Roman"/>
                <w:sz w:val="18"/>
                <w:szCs w:val="20"/>
              </w:rPr>
            </w:pPr>
          </w:p>
        </w:tc>
        <w:tc>
          <w:tcPr>
            <w:tcW w:w="597" w:type="dxa"/>
          </w:tcPr>
          <w:p w14:paraId="07F2464C" w14:textId="77777777" w:rsidR="00D41C60" w:rsidRPr="008E17C8" w:rsidRDefault="00D41C60" w:rsidP="00B06E6D">
            <w:pPr>
              <w:jc w:val="both"/>
              <w:rPr>
                <w:rFonts w:ascii="Times New Roman" w:hAnsi="Times New Roman" w:cs="Times New Roman"/>
                <w:sz w:val="20"/>
                <w:szCs w:val="20"/>
              </w:rPr>
            </w:pPr>
          </w:p>
        </w:tc>
        <w:tc>
          <w:tcPr>
            <w:tcW w:w="1446" w:type="dxa"/>
            <w:gridSpan w:val="2"/>
          </w:tcPr>
          <w:p w14:paraId="747F77BF" w14:textId="77777777" w:rsidR="00D41C60" w:rsidRPr="008E17C8" w:rsidRDefault="00D41C60" w:rsidP="00B06E6D">
            <w:pPr>
              <w:jc w:val="both"/>
              <w:rPr>
                <w:rFonts w:ascii="Times New Roman" w:hAnsi="Times New Roman" w:cs="Times New Roman"/>
                <w:sz w:val="20"/>
                <w:szCs w:val="20"/>
              </w:rPr>
            </w:pPr>
          </w:p>
        </w:tc>
        <w:tc>
          <w:tcPr>
            <w:tcW w:w="1274" w:type="dxa"/>
          </w:tcPr>
          <w:p w14:paraId="5921C5AF" w14:textId="77777777" w:rsidR="00D41C60" w:rsidRPr="008E17C8" w:rsidRDefault="00D41C60" w:rsidP="00B06E6D">
            <w:pPr>
              <w:jc w:val="both"/>
              <w:rPr>
                <w:rFonts w:ascii="Times New Roman" w:hAnsi="Times New Roman" w:cs="Times New Roman"/>
                <w:sz w:val="20"/>
                <w:szCs w:val="20"/>
              </w:rPr>
            </w:pPr>
          </w:p>
        </w:tc>
        <w:tc>
          <w:tcPr>
            <w:tcW w:w="537" w:type="dxa"/>
          </w:tcPr>
          <w:p w14:paraId="7FA9A89B" w14:textId="77777777" w:rsidR="00D41C60" w:rsidRPr="008E17C8" w:rsidRDefault="00D41C60" w:rsidP="00B06E6D">
            <w:pPr>
              <w:jc w:val="both"/>
              <w:rPr>
                <w:rFonts w:ascii="Times New Roman" w:hAnsi="Times New Roman" w:cs="Times New Roman"/>
                <w:sz w:val="20"/>
                <w:szCs w:val="20"/>
              </w:rPr>
            </w:pPr>
          </w:p>
        </w:tc>
        <w:tc>
          <w:tcPr>
            <w:tcW w:w="1417" w:type="dxa"/>
            <w:gridSpan w:val="2"/>
          </w:tcPr>
          <w:p w14:paraId="2AB640F0" w14:textId="77777777" w:rsidR="00D41C60" w:rsidRPr="008E17C8" w:rsidRDefault="00D41C60" w:rsidP="00B06E6D">
            <w:pPr>
              <w:jc w:val="both"/>
              <w:rPr>
                <w:rFonts w:ascii="Times New Roman" w:hAnsi="Times New Roman" w:cs="Times New Roman"/>
                <w:sz w:val="20"/>
                <w:szCs w:val="20"/>
              </w:rPr>
            </w:pPr>
          </w:p>
        </w:tc>
        <w:tc>
          <w:tcPr>
            <w:tcW w:w="843" w:type="dxa"/>
          </w:tcPr>
          <w:p w14:paraId="2CE61021" w14:textId="77777777" w:rsidR="00D41C60" w:rsidRPr="008E17C8" w:rsidRDefault="00D41C60" w:rsidP="00B06E6D">
            <w:pPr>
              <w:jc w:val="both"/>
              <w:rPr>
                <w:rFonts w:ascii="Times New Roman" w:hAnsi="Times New Roman" w:cs="Times New Roman"/>
                <w:sz w:val="20"/>
                <w:szCs w:val="20"/>
              </w:rPr>
            </w:pPr>
          </w:p>
        </w:tc>
        <w:tc>
          <w:tcPr>
            <w:tcW w:w="1000" w:type="dxa"/>
          </w:tcPr>
          <w:p w14:paraId="11058CC5" w14:textId="77777777" w:rsidR="00D41C60" w:rsidRPr="008E17C8" w:rsidRDefault="00D41C60" w:rsidP="00B06E6D">
            <w:pPr>
              <w:jc w:val="both"/>
              <w:rPr>
                <w:rFonts w:ascii="Times New Roman" w:hAnsi="Times New Roman" w:cs="Times New Roman"/>
                <w:sz w:val="20"/>
                <w:szCs w:val="20"/>
              </w:rPr>
            </w:pPr>
          </w:p>
        </w:tc>
        <w:tc>
          <w:tcPr>
            <w:tcW w:w="992" w:type="dxa"/>
          </w:tcPr>
          <w:p w14:paraId="1CF61FAF" w14:textId="77777777" w:rsidR="00D41C60" w:rsidRPr="008E17C8" w:rsidRDefault="00D41C60" w:rsidP="00B06E6D">
            <w:pPr>
              <w:jc w:val="both"/>
              <w:rPr>
                <w:rFonts w:ascii="Times New Roman" w:hAnsi="Times New Roman" w:cs="Times New Roman"/>
                <w:sz w:val="20"/>
                <w:szCs w:val="20"/>
              </w:rPr>
            </w:pPr>
          </w:p>
        </w:tc>
        <w:tc>
          <w:tcPr>
            <w:tcW w:w="993" w:type="dxa"/>
          </w:tcPr>
          <w:p w14:paraId="292A464E"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6A6A6"/>
          </w:tcPr>
          <w:p w14:paraId="55D7EDFC"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6A6A6"/>
          </w:tcPr>
          <w:p w14:paraId="57D1B99B" w14:textId="77777777" w:rsidR="00D41C60" w:rsidRPr="008E17C8" w:rsidRDefault="00D41C60" w:rsidP="00B06E6D">
            <w:pPr>
              <w:jc w:val="both"/>
              <w:rPr>
                <w:rFonts w:ascii="Times New Roman" w:hAnsi="Times New Roman" w:cs="Times New Roman"/>
                <w:sz w:val="20"/>
                <w:szCs w:val="20"/>
              </w:rPr>
            </w:pPr>
          </w:p>
        </w:tc>
        <w:tc>
          <w:tcPr>
            <w:tcW w:w="1427" w:type="dxa"/>
          </w:tcPr>
          <w:p w14:paraId="23CA6014" w14:textId="77777777" w:rsidR="00D41C60" w:rsidRPr="008E17C8" w:rsidRDefault="00D41C60" w:rsidP="00B06E6D">
            <w:pPr>
              <w:jc w:val="both"/>
              <w:rPr>
                <w:rFonts w:ascii="Times New Roman" w:hAnsi="Times New Roman" w:cs="Times New Roman"/>
                <w:sz w:val="20"/>
                <w:szCs w:val="20"/>
              </w:rPr>
            </w:pPr>
          </w:p>
        </w:tc>
      </w:tr>
      <w:tr w:rsidR="00B06E6D" w:rsidRPr="008E17C8" w14:paraId="7B7F16F7" w14:textId="77777777" w:rsidTr="00B06E6D">
        <w:tc>
          <w:tcPr>
            <w:tcW w:w="419" w:type="dxa"/>
          </w:tcPr>
          <w:p w14:paraId="692D9C40"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13</w:t>
            </w:r>
          </w:p>
        </w:tc>
        <w:tc>
          <w:tcPr>
            <w:tcW w:w="1100" w:type="dxa"/>
          </w:tcPr>
          <w:p w14:paraId="15D03764" w14:textId="77777777" w:rsidR="00D41C60" w:rsidRPr="008E17C8" w:rsidRDefault="00D41C60" w:rsidP="00D41C60">
            <w:pPr>
              <w:pStyle w:val="Default"/>
              <w:rPr>
                <w:sz w:val="18"/>
                <w:szCs w:val="20"/>
              </w:rPr>
            </w:pPr>
            <w:r w:rsidRPr="008E17C8">
              <w:rPr>
                <w:iCs/>
                <w:sz w:val="18"/>
                <w:szCs w:val="20"/>
              </w:rPr>
              <w:t xml:space="preserve">Inne instytucje finansowe </w:t>
            </w:r>
          </w:p>
          <w:p w14:paraId="6FE9BFA2" w14:textId="77777777" w:rsidR="00D41C60" w:rsidRPr="008E17C8" w:rsidRDefault="00D41C60" w:rsidP="00D41C60">
            <w:pPr>
              <w:rPr>
                <w:rFonts w:ascii="Times New Roman" w:hAnsi="Times New Roman" w:cs="Times New Roman"/>
                <w:sz w:val="18"/>
                <w:szCs w:val="20"/>
              </w:rPr>
            </w:pPr>
          </w:p>
        </w:tc>
        <w:tc>
          <w:tcPr>
            <w:tcW w:w="597" w:type="dxa"/>
          </w:tcPr>
          <w:p w14:paraId="75698E8D" w14:textId="77777777" w:rsidR="00D41C60" w:rsidRPr="008E17C8" w:rsidRDefault="00D41C60" w:rsidP="00B06E6D">
            <w:pPr>
              <w:jc w:val="both"/>
              <w:rPr>
                <w:rFonts w:ascii="Times New Roman" w:hAnsi="Times New Roman" w:cs="Times New Roman"/>
                <w:sz w:val="20"/>
                <w:szCs w:val="20"/>
              </w:rPr>
            </w:pPr>
          </w:p>
        </w:tc>
        <w:tc>
          <w:tcPr>
            <w:tcW w:w="1446" w:type="dxa"/>
            <w:gridSpan w:val="2"/>
          </w:tcPr>
          <w:p w14:paraId="6D8EBC38" w14:textId="77777777" w:rsidR="00D41C60" w:rsidRPr="008E17C8" w:rsidRDefault="00D41C60" w:rsidP="00B06E6D">
            <w:pPr>
              <w:jc w:val="both"/>
              <w:rPr>
                <w:rFonts w:ascii="Times New Roman" w:hAnsi="Times New Roman" w:cs="Times New Roman"/>
                <w:sz w:val="20"/>
                <w:szCs w:val="20"/>
              </w:rPr>
            </w:pPr>
          </w:p>
        </w:tc>
        <w:tc>
          <w:tcPr>
            <w:tcW w:w="1274" w:type="dxa"/>
          </w:tcPr>
          <w:p w14:paraId="17D79A12" w14:textId="77777777" w:rsidR="00D41C60" w:rsidRPr="008E17C8" w:rsidRDefault="00D41C60" w:rsidP="00B06E6D">
            <w:pPr>
              <w:jc w:val="both"/>
              <w:rPr>
                <w:rFonts w:ascii="Times New Roman" w:hAnsi="Times New Roman" w:cs="Times New Roman"/>
                <w:sz w:val="20"/>
                <w:szCs w:val="20"/>
              </w:rPr>
            </w:pPr>
          </w:p>
        </w:tc>
        <w:tc>
          <w:tcPr>
            <w:tcW w:w="537" w:type="dxa"/>
          </w:tcPr>
          <w:p w14:paraId="453E6367" w14:textId="77777777" w:rsidR="00D41C60" w:rsidRPr="008E17C8" w:rsidRDefault="00D41C60" w:rsidP="00B06E6D">
            <w:pPr>
              <w:jc w:val="both"/>
              <w:rPr>
                <w:rFonts w:ascii="Times New Roman" w:hAnsi="Times New Roman" w:cs="Times New Roman"/>
                <w:sz w:val="20"/>
                <w:szCs w:val="20"/>
              </w:rPr>
            </w:pPr>
          </w:p>
        </w:tc>
        <w:tc>
          <w:tcPr>
            <w:tcW w:w="1417" w:type="dxa"/>
            <w:gridSpan w:val="2"/>
          </w:tcPr>
          <w:p w14:paraId="05784F79" w14:textId="77777777" w:rsidR="00D41C60" w:rsidRPr="008E17C8" w:rsidRDefault="00D41C60" w:rsidP="00B06E6D">
            <w:pPr>
              <w:jc w:val="both"/>
              <w:rPr>
                <w:rFonts w:ascii="Times New Roman" w:hAnsi="Times New Roman" w:cs="Times New Roman"/>
                <w:sz w:val="20"/>
                <w:szCs w:val="20"/>
              </w:rPr>
            </w:pPr>
          </w:p>
        </w:tc>
        <w:tc>
          <w:tcPr>
            <w:tcW w:w="843" w:type="dxa"/>
          </w:tcPr>
          <w:p w14:paraId="738D7B64" w14:textId="77777777" w:rsidR="00D41C60" w:rsidRPr="008E17C8" w:rsidRDefault="00D41C60" w:rsidP="00B06E6D">
            <w:pPr>
              <w:jc w:val="both"/>
              <w:rPr>
                <w:rFonts w:ascii="Times New Roman" w:hAnsi="Times New Roman" w:cs="Times New Roman"/>
                <w:sz w:val="20"/>
                <w:szCs w:val="20"/>
              </w:rPr>
            </w:pPr>
          </w:p>
        </w:tc>
        <w:tc>
          <w:tcPr>
            <w:tcW w:w="1000" w:type="dxa"/>
          </w:tcPr>
          <w:p w14:paraId="15C3B280" w14:textId="77777777" w:rsidR="00D41C60" w:rsidRPr="008E17C8" w:rsidRDefault="00D41C60" w:rsidP="00B06E6D">
            <w:pPr>
              <w:jc w:val="both"/>
              <w:rPr>
                <w:rFonts w:ascii="Times New Roman" w:hAnsi="Times New Roman" w:cs="Times New Roman"/>
                <w:sz w:val="20"/>
                <w:szCs w:val="20"/>
              </w:rPr>
            </w:pPr>
          </w:p>
        </w:tc>
        <w:tc>
          <w:tcPr>
            <w:tcW w:w="992" w:type="dxa"/>
          </w:tcPr>
          <w:p w14:paraId="0FA3A60E" w14:textId="77777777" w:rsidR="00D41C60" w:rsidRPr="008E17C8" w:rsidRDefault="00D41C60" w:rsidP="00B06E6D">
            <w:pPr>
              <w:jc w:val="both"/>
              <w:rPr>
                <w:rFonts w:ascii="Times New Roman" w:hAnsi="Times New Roman" w:cs="Times New Roman"/>
                <w:sz w:val="20"/>
                <w:szCs w:val="20"/>
              </w:rPr>
            </w:pPr>
          </w:p>
        </w:tc>
        <w:tc>
          <w:tcPr>
            <w:tcW w:w="993" w:type="dxa"/>
          </w:tcPr>
          <w:p w14:paraId="14261A7D"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6A6A6"/>
          </w:tcPr>
          <w:p w14:paraId="14D2F81E"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6A6A6"/>
          </w:tcPr>
          <w:p w14:paraId="7C854E0B" w14:textId="77777777" w:rsidR="00D41C60" w:rsidRPr="008E17C8" w:rsidRDefault="00D41C60" w:rsidP="00B06E6D">
            <w:pPr>
              <w:jc w:val="both"/>
              <w:rPr>
                <w:rFonts w:ascii="Times New Roman" w:hAnsi="Times New Roman" w:cs="Times New Roman"/>
                <w:sz w:val="20"/>
                <w:szCs w:val="20"/>
              </w:rPr>
            </w:pPr>
          </w:p>
        </w:tc>
        <w:tc>
          <w:tcPr>
            <w:tcW w:w="1427" w:type="dxa"/>
          </w:tcPr>
          <w:p w14:paraId="210FF036" w14:textId="77777777" w:rsidR="00D41C60" w:rsidRPr="008E17C8" w:rsidRDefault="00D41C60" w:rsidP="00B06E6D">
            <w:pPr>
              <w:jc w:val="both"/>
              <w:rPr>
                <w:rFonts w:ascii="Times New Roman" w:hAnsi="Times New Roman" w:cs="Times New Roman"/>
                <w:sz w:val="20"/>
                <w:szCs w:val="20"/>
              </w:rPr>
            </w:pPr>
          </w:p>
        </w:tc>
      </w:tr>
      <w:tr w:rsidR="00B06E6D" w:rsidRPr="008E17C8" w14:paraId="5164F7E0" w14:textId="77777777" w:rsidTr="00B06E6D">
        <w:tc>
          <w:tcPr>
            <w:tcW w:w="419" w:type="dxa"/>
          </w:tcPr>
          <w:p w14:paraId="55A0E948"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14</w:t>
            </w:r>
          </w:p>
        </w:tc>
        <w:tc>
          <w:tcPr>
            <w:tcW w:w="1100" w:type="dxa"/>
          </w:tcPr>
          <w:p w14:paraId="19224A32" w14:textId="77777777" w:rsidR="00D41C60" w:rsidRPr="008E17C8" w:rsidRDefault="00D41C60" w:rsidP="00D41C60">
            <w:pPr>
              <w:pStyle w:val="Default"/>
              <w:rPr>
                <w:sz w:val="18"/>
                <w:szCs w:val="20"/>
              </w:rPr>
            </w:pPr>
            <w:r w:rsidRPr="008E17C8">
              <w:rPr>
                <w:iCs/>
                <w:sz w:val="18"/>
                <w:szCs w:val="20"/>
              </w:rPr>
              <w:t xml:space="preserve">Przedsiębiorstwa niefinansowe </w:t>
            </w:r>
          </w:p>
          <w:p w14:paraId="53852E3D" w14:textId="77777777" w:rsidR="00D41C60" w:rsidRPr="008E17C8" w:rsidRDefault="00D41C60" w:rsidP="00D41C60">
            <w:pPr>
              <w:rPr>
                <w:rFonts w:ascii="Times New Roman" w:hAnsi="Times New Roman" w:cs="Times New Roman"/>
                <w:sz w:val="18"/>
                <w:szCs w:val="20"/>
              </w:rPr>
            </w:pPr>
          </w:p>
        </w:tc>
        <w:tc>
          <w:tcPr>
            <w:tcW w:w="597" w:type="dxa"/>
          </w:tcPr>
          <w:p w14:paraId="374BBE57" w14:textId="77777777" w:rsidR="00D41C60" w:rsidRPr="008E17C8" w:rsidRDefault="00D41C60" w:rsidP="00B06E6D">
            <w:pPr>
              <w:jc w:val="both"/>
              <w:rPr>
                <w:rFonts w:ascii="Times New Roman" w:hAnsi="Times New Roman" w:cs="Times New Roman"/>
                <w:sz w:val="20"/>
                <w:szCs w:val="20"/>
              </w:rPr>
            </w:pPr>
          </w:p>
        </w:tc>
        <w:tc>
          <w:tcPr>
            <w:tcW w:w="1446" w:type="dxa"/>
            <w:gridSpan w:val="2"/>
          </w:tcPr>
          <w:p w14:paraId="6FD1E3D3" w14:textId="77777777" w:rsidR="00D41C60" w:rsidRPr="008E17C8" w:rsidRDefault="00D41C60" w:rsidP="00B06E6D">
            <w:pPr>
              <w:jc w:val="both"/>
              <w:rPr>
                <w:rFonts w:ascii="Times New Roman" w:hAnsi="Times New Roman" w:cs="Times New Roman"/>
                <w:sz w:val="20"/>
                <w:szCs w:val="20"/>
              </w:rPr>
            </w:pPr>
          </w:p>
        </w:tc>
        <w:tc>
          <w:tcPr>
            <w:tcW w:w="1274" w:type="dxa"/>
          </w:tcPr>
          <w:p w14:paraId="621DF5C9" w14:textId="77777777" w:rsidR="00D41C60" w:rsidRPr="008E17C8" w:rsidRDefault="00D41C60" w:rsidP="00B06E6D">
            <w:pPr>
              <w:jc w:val="both"/>
              <w:rPr>
                <w:rFonts w:ascii="Times New Roman" w:hAnsi="Times New Roman" w:cs="Times New Roman"/>
                <w:sz w:val="20"/>
                <w:szCs w:val="20"/>
              </w:rPr>
            </w:pPr>
          </w:p>
        </w:tc>
        <w:tc>
          <w:tcPr>
            <w:tcW w:w="537" w:type="dxa"/>
          </w:tcPr>
          <w:p w14:paraId="326AFBA8" w14:textId="77777777" w:rsidR="00D41C60" w:rsidRPr="008E17C8" w:rsidRDefault="00D41C60" w:rsidP="00B06E6D">
            <w:pPr>
              <w:jc w:val="both"/>
              <w:rPr>
                <w:rFonts w:ascii="Times New Roman" w:hAnsi="Times New Roman" w:cs="Times New Roman"/>
                <w:sz w:val="20"/>
                <w:szCs w:val="20"/>
              </w:rPr>
            </w:pPr>
          </w:p>
        </w:tc>
        <w:tc>
          <w:tcPr>
            <w:tcW w:w="1417" w:type="dxa"/>
            <w:gridSpan w:val="2"/>
          </w:tcPr>
          <w:p w14:paraId="4D453B7D" w14:textId="77777777" w:rsidR="00D41C60" w:rsidRPr="008E17C8" w:rsidRDefault="00D41C60" w:rsidP="00B06E6D">
            <w:pPr>
              <w:jc w:val="both"/>
              <w:rPr>
                <w:rFonts w:ascii="Times New Roman" w:hAnsi="Times New Roman" w:cs="Times New Roman"/>
                <w:sz w:val="20"/>
                <w:szCs w:val="20"/>
              </w:rPr>
            </w:pPr>
          </w:p>
        </w:tc>
        <w:tc>
          <w:tcPr>
            <w:tcW w:w="843" w:type="dxa"/>
          </w:tcPr>
          <w:p w14:paraId="740813FB" w14:textId="77777777" w:rsidR="00D41C60" w:rsidRPr="008E17C8" w:rsidRDefault="00D41C60" w:rsidP="00B06E6D">
            <w:pPr>
              <w:jc w:val="both"/>
              <w:rPr>
                <w:rFonts w:ascii="Times New Roman" w:hAnsi="Times New Roman" w:cs="Times New Roman"/>
                <w:sz w:val="20"/>
                <w:szCs w:val="20"/>
              </w:rPr>
            </w:pPr>
          </w:p>
        </w:tc>
        <w:tc>
          <w:tcPr>
            <w:tcW w:w="1000" w:type="dxa"/>
          </w:tcPr>
          <w:p w14:paraId="74F381C3" w14:textId="77777777" w:rsidR="00D41C60" w:rsidRPr="008E17C8" w:rsidRDefault="00D41C60" w:rsidP="00B06E6D">
            <w:pPr>
              <w:jc w:val="both"/>
              <w:rPr>
                <w:rFonts w:ascii="Times New Roman" w:hAnsi="Times New Roman" w:cs="Times New Roman"/>
                <w:sz w:val="20"/>
                <w:szCs w:val="20"/>
              </w:rPr>
            </w:pPr>
          </w:p>
        </w:tc>
        <w:tc>
          <w:tcPr>
            <w:tcW w:w="992" w:type="dxa"/>
          </w:tcPr>
          <w:p w14:paraId="3CC6002A" w14:textId="77777777" w:rsidR="00D41C60" w:rsidRPr="008E17C8" w:rsidRDefault="00D41C60" w:rsidP="00B06E6D">
            <w:pPr>
              <w:jc w:val="both"/>
              <w:rPr>
                <w:rFonts w:ascii="Times New Roman" w:hAnsi="Times New Roman" w:cs="Times New Roman"/>
                <w:sz w:val="20"/>
                <w:szCs w:val="20"/>
              </w:rPr>
            </w:pPr>
          </w:p>
        </w:tc>
        <w:tc>
          <w:tcPr>
            <w:tcW w:w="993" w:type="dxa"/>
          </w:tcPr>
          <w:p w14:paraId="13011B82"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6A6A6"/>
          </w:tcPr>
          <w:p w14:paraId="2C89124F"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6A6A6"/>
          </w:tcPr>
          <w:p w14:paraId="21903080" w14:textId="77777777" w:rsidR="00D41C60" w:rsidRPr="008E17C8" w:rsidRDefault="00D41C60" w:rsidP="00B06E6D">
            <w:pPr>
              <w:jc w:val="both"/>
              <w:rPr>
                <w:rFonts w:ascii="Times New Roman" w:hAnsi="Times New Roman" w:cs="Times New Roman"/>
                <w:sz w:val="20"/>
                <w:szCs w:val="20"/>
              </w:rPr>
            </w:pPr>
          </w:p>
        </w:tc>
        <w:tc>
          <w:tcPr>
            <w:tcW w:w="1427" w:type="dxa"/>
          </w:tcPr>
          <w:p w14:paraId="33A16323" w14:textId="77777777" w:rsidR="00D41C60" w:rsidRPr="008E17C8" w:rsidRDefault="00D41C60" w:rsidP="00B06E6D">
            <w:pPr>
              <w:jc w:val="both"/>
              <w:rPr>
                <w:rFonts w:ascii="Times New Roman" w:hAnsi="Times New Roman" w:cs="Times New Roman"/>
                <w:sz w:val="20"/>
                <w:szCs w:val="20"/>
              </w:rPr>
            </w:pPr>
          </w:p>
        </w:tc>
      </w:tr>
      <w:tr w:rsidR="00B06E6D" w:rsidRPr="008E17C8" w14:paraId="2A3964B7" w14:textId="77777777" w:rsidTr="00B06E6D">
        <w:tc>
          <w:tcPr>
            <w:tcW w:w="419" w:type="dxa"/>
          </w:tcPr>
          <w:p w14:paraId="29863520"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15</w:t>
            </w:r>
          </w:p>
        </w:tc>
        <w:tc>
          <w:tcPr>
            <w:tcW w:w="1100" w:type="dxa"/>
          </w:tcPr>
          <w:p w14:paraId="1CB0E3EB" w14:textId="77777777" w:rsidR="00D41C60" w:rsidRPr="008E17C8" w:rsidRDefault="00D41C60" w:rsidP="00D41C60">
            <w:pPr>
              <w:pStyle w:val="Default"/>
              <w:rPr>
                <w:sz w:val="18"/>
                <w:szCs w:val="20"/>
              </w:rPr>
            </w:pPr>
            <w:r w:rsidRPr="008E17C8">
              <w:rPr>
                <w:sz w:val="18"/>
                <w:szCs w:val="20"/>
              </w:rPr>
              <w:t xml:space="preserve">Ekspozycje pozabilansowe </w:t>
            </w:r>
          </w:p>
          <w:p w14:paraId="4924794D" w14:textId="77777777" w:rsidR="00D41C60" w:rsidRPr="008E17C8" w:rsidRDefault="00D41C60" w:rsidP="00D41C60">
            <w:pPr>
              <w:rPr>
                <w:rFonts w:ascii="Times New Roman" w:hAnsi="Times New Roman" w:cs="Times New Roman"/>
                <w:sz w:val="18"/>
                <w:szCs w:val="20"/>
              </w:rPr>
            </w:pPr>
          </w:p>
        </w:tc>
        <w:tc>
          <w:tcPr>
            <w:tcW w:w="597" w:type="dxa"/>
            <w:shd w:val="clear" w:color="auto" w:fill="A8D08D"/>
          </w:tcPr>
          <w:p w14:paraId="174E4B07" w14:textId="77777777" w:rsidR="00D41C60" w:rsidRPr="008E17C8" w:rsidRDefault="00D41C60" w:rsidP="00B06E6D">
            <w:pPr>
              <w:jc w:val="both"/>
              <w:rPr>
                <w:rFonts w:ascii="Times New Roman" w:hAnsi="Times New Roman" w:cs="Times New Roman"/>
                <w:sz w:val="20"/>
                <w:szCs w:val="20"/>
              </w:rPr>
            </w:pPr>
          </w:p>
        </w:tc>
        <w:tc>
          <w:tcPr>
            <w:tcW w:w="1446" w:type="dxa"/>
            <w:gridSpan w:val="2"/>
            <w:shd w:val="clear" w:color="auto" w:fill="A8D08D"/>
          </w:tcPr>
          <w:p w14:paraId="31A10D08" w14:textId="77777777" w:rsidR="00D41C60" w:rsidRPr="008E17C8" w:rsidRDefault="00D41C60" w:rsidP="00B06E6D">
            <w:pPr>
              <w:jc w:val="both"/>
              <w:rPr>
                <w:rFonts w:ascii="Times New Roman" w:hAnsi="Times New Roman" w:cs="Times New Roman"/>
                <w:sz w:val="20"/>
                <w:szCs w:val="20"/>
              </w:rPr>
            </w:pPr>
          </w:p>
        </w:tc>
        <w:tc>
          <w:tcPr>
            <w:tcW w:w="1274" w:type="dxa"/>
            <w:shd w:val="clear" w:color="auto" w:fill="A8D08D"/>
          </w:tcPr>
          <w:p w14:paraId="0A7DBC4F" w14:textId="77777777" w:rsidR="00D41C60" w:rsidRPr="008E17C8" w:rsidRDefault="00D41C60" w:rsidP="00B06E6D">
            <w:pPr>
              <w:jc w:val="both"/>
              <w:rPr>
                <w:rFonts w:ascii="Times New Roman" w:hAnsi="Times New Roman" w:cs="Times New Roman"/>
                <w:sz w:val="20"/>
                <w:szCs w:val="20"/>
              </w:rPr>
            </w:pPr>
          </w:p>
        </w:tc>
        <w:tc>
          <w:tcPr>
            <w:tcW w:w="537" w:type="dxa"/>
            <w:shd w:val="clear" w:color="auto" w:fill="A8D08D"/>
          </w:tcPr>
          <w:p w14:paraId="14ADD25B" w14:textId="77777777" w:rsidR="00D41C60" w:rsidRPr="008E17C8" w:rsidRDefault="00D41C60" w:rsidP="00B06E6D">
            <w:pPr>
              <w:jc w:val="both"/>
              <w:rPr>
                <w:rFonts w:ascii="Times New Roman" w:hAnsi="Times New Roman" w:cs="Times New Roman"/>
                <w:sz w:val="20"/>
                <w:szCs w:val="20"/>
              </w:rPr>
            </w:pPr>
          </w:p>
        </w:tc>
        <w:tc>
          <w:tcPr>
            <w:tcW w:w="1417" w:type="dxa"/>
            <w:gridSpan w:val="2"/>
            <w:shd w:val="clear" w:color="auto" w:fill="A8D08D"/>
          </w:tcPr>
          <w:p w14:paraId="6B6BB49D" w14:textId="77777777" w:rsidR="00D41C60" w:rsidRPr="008E17C8" w:rsidRDefault="00D41C60" w:rsidP="00B06E6D">
            <w:pPr>
              <w:jc w:val="both"/>
              <w:rPr>
                <w:rFonts w:ascii="Times New Roman" w:hAnsi="Times New Roman" w:cs="Times New Roman"/>
                <w:sz w:val="20"/>
                <w:szCs w:val="20"/>
              </w:rPr>
            </w:pPr>
          </w:p>
        </w:tc>
        <w:tc>
          <w:tcPr>
            <w:tcW w:w="843" w:type="dxa"/>
            <w:shd w:val="clear" w:color="auto" w:fill="A8D08D"/>
          </w:tcPr>
          <w:p w14:paraId="1DFCD6C9" w14:textId="77777777" w:rsidR="00D41C60" w:rsidRPr="008E17C8" w:rsidRDefault="00D41C60" w:rsidP="00B06E6D">
            <w:pPr>
              <w:jc w:val="both"/>
              <w:rPr>
                <w:rFonts w:ascii="Times New Roman" w:hAnsi="Times New Roman" w:cs="Times New Roman"/>
                <w:sz w:val="20"/>
                <w:szCs w:val="20"/>
              </w:rPr>
            </w:pPr>
          </w:p>
        </w:tc>
        <w:tc>
          <w:tcPr>
            <w:tcW w:w="1000" w:type="dxa"/>
            <w:shd w:val="clear" w:color="auto" w:fill="A8D08D"/>
          </w:tcPr>
          <w:p w14:paraId="07C8984B"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8D08D"/>
          </w:tcPr>
          <w:p w14:paraId="35871C5C" w14:textId="77777777" w:rsidR="00D41C60" w:rsidRPr="008E17C8" w:rsidRDefault="00D41C60" w:rsidP="00B06E6D">
            <w:pPr>
              <w:jc w:val="both"/>
              <w:rPr>
                <w:rFonts w:ascii="Times New Roman" w:hAnsi="Times New Roman" w:cs="Times New Roman"/>
                <w:sz w:val="20"/>
                <w:szCs w:val="20"/>
              </w:rPr>
            </w:pPr>
          </w:p>
        </w:tc>
        <w:tc>
          <w:tcPr>
            <w:tcW w:w="993" w:type="dxa"/>
            <w:shd w:val="clear" w:color="auto" w:fill="A8D08D"/>
          </w:tcPr>
          <w:p w14:paraId="1B57C838"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8D08D"/>
          </w:tcPr>
          <w:p w14:paraId="11A8DB2C"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8D08D"/>
          </w:tcPr>
          <w:p w14:paraId="15ECDDC3" w14:textId="77777777" w:rsidR="00D41C60" w:rsidRPr="008E17C8" w:rsidRDefault="00D41C60" w:rsidP="00B06E6D">
            <w:pPr>
              <w:jc w:val="both"/>
              <w:rPr>
                <w:rFonts w:ascii="Times New Roman" w:hAnsi="Times New Roman" w:cs="Times New Roman"/>
                <w:sz w:val="20"/>
                <w:szCs w:val="20"/>
              </w:rPr>
            </w:pPr>
          </w:p>
        </w:tc>
        <w:tc>
          <w:tcPr>
            <w:tcW w:w="1427" w:type="dxa"/>
          </w:tcPr>
          <w:p w14:paraId="3B042CD9" w14:textId="77777777" w:rsidR="00D41C60" w:rsidRPr="008E17C8" w:rsidRDefault="00D41C60" w:rsidP="00B06E6D">
            <w:pPr>
              <w:jc w:val="both"/>
              <w:rPr>
                <w:rFonts w:ascii="Times New Roman" w:hAnsi="Times New Roman" w:cs="Times New Roman"/>
                <w:sz w:val="20"/>
                <w:szCs w:val="20"/>
              </w:rPr>
            </w:pPr>
          </w:p>
        </w:tc>
      </w:tr>
      <w:tr w:rsidR="00B06E6D" w:rsidRPr="008E17C8" w14:paraId="5A06CB6B" w14:textId="77777777" w:rsidTr="00B06E6D">
        <w:tc>
          <w:tcPr>
            <w:tcW w:w="419" w:type="dxa"/>
          </w:tcPr>
          <w:p w14:paraId="76D978D3"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16</w:t>
            </w:r>
          </w:p>
        </w:tc>
        <w:tc>
          <w:tcPr>
            <w:tcW w:w="1100" w:type="dxa"/>
          </w:tcPr>
          <w:p w14:paraId="0FFD2746" w14:textId="77777777" w:rsidR="00D41C60" w:rsidRPr="008E17C8" w:rsidRDefault="00D41C60" w:rsidP="00D41C60">
            <w:pPr>
              <w:pStyle w:val="Default"/>
              <w:rPr>
                <w:sz w:val="18"/>
                <w:szCs w:val="20"/>
              </w:rPr>
            </w:pPr>
            <w:r w:rsidRPr="008E17C8">
              <w:rPr>
                <w:iCs/>
                <w:sz w:val="18"/>
                <w:szCs w:val="20"/>
              </w:rPr>
              <w:t xml:space="preserve">Banki centralne </w:t>
            </w:r>
          </w:p>
          <w:p w14:paraId="7DD85C34" w14:textId="77777777" w:rsidR="00D41C60" w:rsidRPr="008E17C8" w:rsidRDefault="00D41C60" w:rsidP="00D41C60">
            <w:pPr>
              <w:rPr>
                <w:rFonts w:ascii="Times New Roman" w:hAnsi="Times New Roman" w:cs="Times New Roman"/>
                <w:sz w:val="18"/>
                <w:szCs w:val="20"/>
              </w:rPr>
            </w:pPr>
          </w:p>
        </w:tc>
        <w:tc>
          <w:tcPr>
            <w:tcW w:w="597" w:type="dxa"/>
            <w:shd w:val="clear" w:color="auto" w:fill="A8D08D"/>
          </w:tcPr>
          <w:p w14:paraId="7056246F" w14:textId="77777777" w:rsidR="00D41C60" w:rsidRPr="008E17C8" w:rsidRDefault="00D41C60" w:rsidP="00B06E6D">
            <w:pPr>
              <w:jc w:val="both"/>
              <w:rPr>
                <w:rFonts w:ascii="Times New Roman" w:hAnsi="Times New Roman" w:cs="Times New Roman"/>
                <w:sz w:val="20"/>
                <w:szCs w:val="20"/>
              </w:rPr>
            </w:pPr>
          </w:p>
        </w:tc>
        <w:tc>
          <w:tcPr>
            <w:tcW w:w="1446" w:type="dxa"/>
            <w:gridSpan w:val="2"/>
            <w:shd w:val="clear" w:color="auto" w:fill="A8D08D"/>
          </w:tcPr>
          <w:p w14:paraId="33C0A5BE" w14:textId="77777777" w:rsidR="00D41C60" w:rsidRPr="008E17C8" w:rsidRDefault="00D41C60" w:rsidP="00B06E6D">
            <w:pPr>
              <w:jc w:val="both"/>
              <w:rPr>
                <w:rFonts w:ascii="Times New Roman" w:hAnsi="Times New Roman" w:cs="Times New Roman"/>
                <w:sz w:val="20"/>
                <w:szCs w:val="20"/>
              </w:rPr>
            </w:pPr>
          </w:p>
        </w:tc>
        <w:tc>
          <w:tcPr>
            <w:tcW w:w="1274" w:type="dxa"/>
            <w:shd w:val="clear" w:color="auto" w:fill="A8D08D"/>
          </w:tcPr>
          <w:p w14:paraId="00A347C3" w14:textId="77777777" w:rsidR="00D41C60" w:rsidRPr="008E17C8" w:rsidRDefault="00D41C60" w:rsidP="00B06E6D">
            <w:pPr>
              <w:jc w:val="both"/>
              <w:rPr>
                <w:rFonts w:ascii="Times New Roman" w:hAnsi="Times New Roman" w:cs="Times New Roman"/>
                <w:sz w:val="20"/>
                <w:szCs w:val="20"/>
              </w:rPr>
            </w:pPr>
          </w:p>
        </w:tc>
        <w:tc>
          <w:tcPr>
            <w:tcW w:w="537" w:type="dxa"/>
            <w:shd w:val="clear" w:color="auto" w:fill="A8D08D"/>
          </w:tcPr>
          <w:p w14:paraId="1304C03C" w14:textId="77777777" w:rsidR="00D41C60" w:rsidRPr="008E17C8" w:rsidRDefault="00D41C60" w:rsidP="00B06E6D">
            <w:pPr>
              <w:jc w:val="both"/>
              <w:rPr>
                <w:rFonts w:ascii="Times New Roman" w:hAnsi="Times New Roman" w:cs="Times New Roman"/>
                <w:sz w:val="20"/>
                <w:szCs w:val="20"/>
              </w:rPr>
            </w:pPr>
          </w:p>
        </w:tc>
        <w:tc>
          <w:tcPr>
            <w:tcW w:w="1417" w:type="dxa"/>
            <w:gridSpan w:val="2"/>
            <w:shd w:val="clear" w:color="auto" w:fill="A8D08D"/>
          </w:tcPr>
          <w:p w14:paraId="384F80B6" w14:textId="77777777" w:rsidR="00D41C60" w:rsidRPr="008E17C8" w:rsidRDefault="00D41C60" w:rsidP="00B06E6D">
            <w:pPr>
              <w:jc w:val="both"/>
              <w:rPr>
                <w:rFonts w:ascii="Times New Roman" w:hAnsi="Times New Roman" w:cs="Times New Roman"/>
                <w:sz w:val="20"/>
                <w:szCs w:val="20"/>
              </w:rPr>
            </w:pPr>
          </w:p>
        </w:tc>
        <w:tc>
          <w:tcPr>
            <w:tcW w:w="843" w:type="dxa"/>
            <w:shd w:val="clear" w:color="auto" w:fill="A8D08D"/>
          </w:tcPr>
          <w:p w14:paraId="5D098CF6" w14:textId="77777777" w:rsidR="00D41C60" w:rsidRPr="008E17C8" w:rsidRDefault="00D41C60" w:rsidP="00B06E6D">
            <w:pPr>
              <w:jc w:val="both"/>
              <w:rPr>
                <w:rFonts w:ascii="Times New Roman" w:hAnsi="Times New Roman" w:cs="Times New Roman"/>
                <w:sz w:val="20"/>
                <w:szCs w:val="20"/>
              </w:rPr>
            </w:pPr>
          </w:p>
        </w:tc>
        <w:tc>
          <w:tcPr>
            <w:tcW w:w="1000" w:type="dxa"/>
            <w:shd w:val="clear" w:color="auto" w:fill="A8D08D"/>
          </w:tcPr>
          <w:p w14:paraId="52719C6C"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8D08D"/>
          </w:tcPr>
          <w:p w14:paraId="6B8ABA04" w14:textId="77777777" w:rsidR="00D41C60" w:rsidRPr="008E17C8" w:rsidRDefault="00D41C60" w:rsidP="00B06E6D">
            <w:pPr>
              <w:jc w:val="both"/>
              <w:rPr>
                <w:rFonts w:ascii="Times New Roman" w:hAnsi="Times New Roman" w:cs="Times New Roman"/>
                <w:sz w:val="20"/>
                <w:szCs w:val="20"/>
              </w:rPr>
            </w:pPr>
          </w:p>
        </w:tc>
        <w:tc>
          <w:tcPr>
            <w:tcW w:w="993" w:type="dxa"/>
            <w:shd w:val="clear" w:color="auto" w:fill="A8D08D"/>
          </w:tcPr>
          <w:p w14:paraId="440F230A"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8D08D"/>
          </w:tcPr>
          <w:p w14:paraId="13C00C94"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8D08D"/>
          </w:tcPr>
          <w:p w14:paraId="49AF4A5B" w14:textId="77777777" w:rsidR="00D41C60" w:rsidRPr="008E17C8" w:rsidRDefault="00D41C60" w:rsidP="00B06E6D">
            <w:pPr>
              <w:jc w:val="both"/>
              <w:rPr>
                <w:rFonts w:ascii="Times New Roman" w:hAnsi="Times New Roman" w:cs="Times New Roman"/>
                <w:sz w:val="20"/>
                <w:szCs w:val="20"/>
              </w:rPr>
            </w:pPr>
          </w:p>
        </w:tc>
        <w:tc>
          <w:tcPr>
            <w:tcW w:w="1427" w:type="dxa"/>
          </w:tcPr>
          <w:p w14:paraId="64C44E90" w14:textId="77777777" w:rsidR="00D41C60" w:rsidRPr="008E17C8" w:rsidRDefault="00D41C60" w:rsidP="00B06E6D">
            <w:pPr>
              <w:jc w:val="both"/>
              <w:rPr>
                <w:rFonts w:ascii="Times New Roman" w:hAnsi="Times New Roman" w:cs="Times New Roman"/>
                <w:sz w:val="20"/>
                <w:szCs w:val="20"/>
              </w:rPr>
            </w:pPr>
          </w:p>
        </w:tc>
      </w:tr>
      <w:tr w:rsidR="00B06E6D" w:rsidRPr="008E17C8" w14:paraId="702330F4" w14:textId="77777777" w:rsidTr="00B06E6D">
        <w:tc>
          <w:tcPr>
            <w:tcW w:w="419" w:type="dxa"/>
          </w:tcPr>
          <w:p w14:paraId="51B6B14B"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17</w:t>
            </w:r>
          </w:p>
        </w:tc>
        <w:tc>
          <w:tcPr>
            <w:tcW w:w="1100" w:type="dxa"/>
          </w:tcPr>
          <w:p w14:paraId="68BC79E3" w14:textId="77777777" w:rsidR="00D41C60" w:rsidRPr="008E17C8" w:rsidRDefault="00D41C60" w:rsidP="00D41C60">
            <w:pPr>
              <w:pStyle w:val="Default"/>
              <w:rPr>
                <w:sz w:val="18"/>
                <w:szCs w:val="20"/>
              </w:rPr>
            </w:pPr>
            <w:r w:rsidRPr="008E17C8">
              <w:rPr>
                <w:iCs/>
                <w:sz w:val="18"/>
                <w:szCs w:val="20"/>
              </w:rPr>
              <w:t xml:space="preserve">Instytucje rządowe </w:t>
            </w:r>
          </w:p>
          <w:p w14:paraId="219CEC08" w14:textId="77777777" w:rsidR="00D41C60" w:rsidRPr="008E17C8" w:rsidRDefault="00D41C60" w:rsidP="00D41C60">
            <w:pPr>
              <w:rPr>
                <w:rFonts w:ascii="Times New Roman" w:hAnsi="Times New Roman" w:cs="Times New Roman"/>
                <w:sz w:val="18"/>
                <w:szCs w:val="20"/>
              </w:rPr>
            </w:pPr>
          </w:p>
        </w:tc>
        <w:tc>
          <w:tcPr>
            <w:tcW w:w="597" w:type="dxa"/>
            <w:shd w:val="clear" w:color="auto" w:fill="A8D08D"/>
          </w:tcPr>
          <w:p w14:paraId="1C17BE55" w14:textId="77777777" w:rsidR="00D41C60" w:rsidRPr="008E17C8" w:rsidRDefault="00D41C60" w:rsidP="00B06E6D">
            <w:pPr>
              <w:jc w:val="both"/>
              <w:rPr>
                <w:rFonts w:ascii="Times New Roman" w:hAnsi="Times New Roman" w:cs="Times New Roman"/>
                <w:sz w:val="20"/>
                <w:szCs w:val="20"/>
              </w:rPr>
            </w:pPr>
          </w:p>
        </w:tc>
        <w:tc>
          <w:tcPr>
            <w:tcW w:w="1446" w:type="dxa"/>
            <w:gridSpan w:val="2"/>
            <w:shd w:val="clear" w:color="auto" w:fill="A8D08D"/>
          </w:tcPr>
          <w:p w14:paraId="55ED8B09" w14:textId="77777777" w:rsidR="00D41C60" w:rsidRPr="008E17C8" w:rsidRDefault="00D41C60" w:rsidP="00B06E6D">
            <w:pPr>
              <w:jc w:val="both"/>
              <w:rPr>
                <w:rFonts w:ascii="Times New Roman" w:hAnsi="Times New Roman" w:cs="Times New Roman"/>
                <w:sz w:val="20"/>
                <w:szCs w:val="20"/>
              </w:rPr>
            </w:pPr>
          </w:p>
        </w:tc>
        <w:tc>
          <w:tcPr>
            <w:tcW w:w="1274" w:type="dxa"/>
            <w:shd w:val="clear" w:color="auto" w:fill="A8D08D"/>
          </w:tcPr>
          <w:p w14:paraId="14FBAF0A" w14:textId="77777777" w:rsidR="00D41C60" w:rsidRPr="008E17C8" w:rsidRDefault="00D41C60" w:rsidP="00B06E6D">
            <w:pPr>
              <w:jc w:val="both"/>
              <w:rPr>
                <w:rFonts w:ascii="Times New Roman" w:hAnsi="Times New Roman" w:cs="Times New Roman"/>
                <w:sz w:val="20"/>
                <w:szCs w:val="20"/>
              </w:rPr>
            </w:pPr>
          </w:p>
        </w:tc>
        <w:tc>
          <w:tcPr>
            <w:tcW w:w="537" w:type="dxa"/>
            <w:shd w:val="clear" w:color="auto" w:fill="A8D08D"/>
          </w:tcPr>
          <w:p w14:paraId="1676D326" w14:textId="77777777" w:rsidR="00D41C60" w:rsidRPr="008E17C8" w:rsidRDefault="00D41C60" w:rsidP="00B06E6D">
            <w:pPr>
              <w:jc w:val="both"/>
              <w:rPr>
                <w:rFonts w:ascii="Times New Roman" w:hAnsi="Times New Roman" w:cs="Times New Roman"/>
                <w:sz w:val="20"/>
                <w:szCs w:val="20"/>
              </w:rPr>
            </w:pPr>
          </w:p>
        </w:tc>
        <w:tc>
          <w:tcPr>
            <w:tcW w:w="1417" w:type="dxa"/>
            <w:gridSpan w:val="2"/>
            <w:shd w:val="clear" w:color="auto" w:fill="A8D08D"/>
          </w:tcPr>
          <w:p w14:paraId="678F1B57" w14:textId="77777777" w:rsidR="00D41C60" w:rsidRPr="008E17C8" w:rsidRDefault="00D41C60" w:rsidP="00B06E6D">
            <w:pPr>
              <w:jc w:val="both"/>
              <w:rPr>
                <w:rFonts w:ascii="Times New Roman" w:hAnsi="Times New Roman" w:cs="Times New Roman"/>
                <w:sz w:val="20"/>
                <w:szCs w:val="20"/>
              </w:rPr>
            </w:pPr>
          </w:p>
        </w:tc>
        <w:tc>
          <w:tcPr>
            <w:tcW w:w="843" w:type="dxa"/>
            <w:shd w:val="clear" w:color="auto" w:fill="A8D08D"/>
          </w:tcPr>
          <w:p w14:paraId="7818BDD5" w14:textId="77777777" w:rsidR="00D41C60" w:rsidRPr="008E17C8" w:rsidRDefault="00D41C60" w:rsidP="00B06E6D">
            <w:pPr>
              <w:jc w:val="both"/>
              <w:rPr>
                <w:rFonts w:ascii="Times New Roman" w:hAnsi="Times New Roman" w:cs="Times New Roman"/>
                <w:sz w:val="20"/>
                <w:szCs w:val="20"/>
              </w:rPr>
            </w:pPr>
          </w:p>
        </w:tc>
        <w:tc>
          <w:tcPr>
            <w:tcW w:w="1000" w:type="dxa"/>
            <w:shd w:val="clear" w:color="auto" w:fill="A8D08D"/>
          </w:tcPr>
          <w:p w14:paraId="68377D6D"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8D08D"/>
          </w:tcPr>
          <w:p w14:paraId="33D3B1EA" w14:textId="77777777" w:rsidR="00D41C60" w:rsidRPr="008E17C8" w:rsidRDefault="00D41C60" w:rsidP="00B06E6D">
            <w:pPr>
              <w:jc w:val="both"/>
              <w:rPr>
                <w:rFonts w:ascii="Times New Roman" w:hAnsi="Times New Roman" w:cs="Times New Roman"/>
                <w:sz w:val="20"/>
                <w:szCs w:val="20"/>
              </w:rPr>
            </w:pPr>
          </w:p>
        </w:tc>
        <w:tc>
          <w:tcPr>
            <w:tcW w:w="993" w:type="dxa"/>
            <w:shd w:val="clear" w:color="auto" w:fill="A8D08D"/>
          </w:tcPr>
          <w:p w14:paraId="5B5D2663"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8D08D"/>
          </w:tcPr>
          <w:p w14:paraId="1F968FA4"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8D08D"/>
          </w:tcPr>
          <w:p w14:paraId="6E113ABA" w14:textId="77777777" w:rsidR="00D41C60" w:rsidRPr="008E17C8" w:rsidRDefault="00D41C60" w:rsidP="00B06E6D">
            <w:pPr>
              <w:jc w:val="both"/>
              <w:rPr>
                <w:rFonts w:ascii="Times New Roman" w:hAnsi="Times New Roman" w:cs="Times New Roman"/>
                <w:sz w:val="20"/>
                <w:szCs w:val="20"/>
              </w:rPr>
            </w:pPr>
          </w:p>
        </w:tc>
        <w:tc>
          <w:tcPr>
            <w:tcW w:w="1427" w:type="dxa"/>
          </w:tcPr>
          <w:p w14:paraId="2606DB99" w14:textId="77777777" w:rsidR="00D41C60" w:rsidRPr="008E17C8" w:rsidRDefault="00D41C60" w:rsidP="00B06E6D">
            <w:pPr>
              <w:jc w:val="both"/>
              <w:rPr>
                <w:rFonts w:ascii="Times New Roman" w:hAnsi="Times New Roman" w:cs="Times New Roman"/>
                <w:sz w:val="20"/>
                <w:szCs w:val="20"/>
              </w:rPr>
            </w:pPr>
          </w:p>
        </w:tc>
      </w:tr>
      <w:tr w:rsidR="00B06E6D" w:rsidRPr="008E17C8" w14:paraId="5AF3DD8B" w14:textId="77777777" w:rsidTr="00B06E6D">
        <w:tc>
          <w:tcPr>
            <w:tcW w:w="419" w:type="dxa"/>
          </w:tcPr>
          <w:p w14:paraId="1119FF93"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18</w:t>
            </w:r>
          </w:p>
        </w:tc>
        <w:tc>
          <w:tcPr>
            <w:tcW w:w="1100" w:type="dxa"/>
          </w:tcPr>
          <w:p w14:paraId="2D6E527E" w14:textId="77777777" w:rsidR="00D41C60" w:rsidRPr="008E17C8" w:rsidRDefault="00D41C60" w:rsidP="00D41C60">
            <w:pPr>
              <w:pStyle w:val="Default"/>
              <w:rPr>
                <w:sz w:val="18"/>
                <w:szCs w:val="20"/>
              </w:rPr>
            </w:pPr>
            <w:r w:rsidRPr="008E17C8">
              <w:rPr>
                <w:iCs/>
                <w:sz w:val="18"/>
                <w:szCs w:val="20"/>
              </w:rPr>
              <w:t xml:space="preserve">Instytucje kredytowe </w:t>
            </w:r>
          </w:p>
          <w:p w14:paraId="7C5F6610" w14:textId="77777777" w:rsidR="00D41C60" w:rsidRPr="008E17C8" w:rsidRDefault="00D41C60" w:rsidP="00D41C60">
            <w:pPr>
              <w:rPr>
                <w:rFonts w:ascii="Times New Roman" w:hAnsi="Times New Roman" w:cs="Times New Roman"/>
                <w:sz w:val="18"/>
                <w:szCs w:val="20"/>
              </w:rPr>
            </w:pPr>
          </w:p>
        </w:tc>
        <w:tc>
          <w:tcPr>
            <w:tcW w:w="597" w:type="dxa"/>
            <w:shd w:val="clear" w:color="auto" w:fill="A8D08D"/>
          </w:tcPr>
          <w:p w14:paraId="72DB8027" w14:textId="77777777" w:rsidR="00D41C60" w:rsidRPr="008E17C8" w:rsidRDefault="00D41C60" w:rsidP="00B06E6D">
            <w:pPr>
              <w:jc w:val="both"/>
              <w:rPr>
                <w:rFonts w:ascii="Times New Roman" w:hAnsi="Times New Roman" w:cs="Times New Roman"/>
                <w:sz w:val="20"/>
                <w:szCs w:val="20"/>
              </w:rPr>
            </w:pPr>
          </w:p>
        </w:tc>
        <w:tc>
          <w:tcPr>
            <w:tcW w:w="1446" w:type="dxa"/>
            <w:gridSpan w:val="2"/>
            <w:shd w:val="clear" w:color="auto" w:fill="A8D08D"/>
          </w:tcPr>
          <w:p w14:paraId="69D03A3F" w14:textId="77777777" w:rsidR="00D41C60" w:rsidRPr="008E17C8" w:rsidRDefault="00D41C60" w:rsidP="00B06E6D">
            <w:pPr>
              <w:jc w:val="both"/>
              <w:rPr>
                <w:rFonts w:ascii="Times New Roman" w:hAnsi="Times New Roman" w:cs="Times New Roman"/>
                <w:sz w:val="20"/>
                <w:szCs w:val="20"/>
              </w:rPr>
            </w:pPr>
          </w:p>
        </w:tc>
        <w:tc>
          <w:tcPr>
            <w:tcW w:w="1274" w:type="dxa"/>
            <w:shd w:val="clear" w:color="auto" w:fill="A8D08D"/>
          </w:tcPr>
          <w:p w14:paraId="74577A3F" w14:textId="77777777" w:rsidR="00D41C60" w:rsidRPr="008E17C8" w:rsidRDefault="00D41C60" w:rsidP="00B06E6D">
            <w:pPr>
              <w:jc w:val="both"/>
              <w:rPr>
                <w:rFonts w:ascii="Times New Roman" w:hAnsi="Times New Roman" w:cs="Times New Roman"/>
                <w:sz w:val="20"/>
                <w:szCs w:val="20"/>
              </w:rPr>
            </w:pPr>
          </w:p>
        </w:tc>
        <w:tc>
          <w:tcPr>
            <w:tcW w:w="537" w:type="dxa"/>
            <w:shd w:val="clear" w:color="auto" w:fill="A8D08D"/>
          </w:tcPr>
          <w:p w14:paraId="5AF9AA49" w14:textId="77777777" w:rsidR="00D41C60" w:rsidRPr="008E17C8" w:rsidRDefault="00D41C60" w:rsidP="00B06E6D">
            <w:pPr>
              <w:jc w:val="both"/>
              <w:rPr>
                <w:rFonts w:ascii="Times New Roman" w:hAnsi="Times New Roman" w:cs="Times New Roman"/>
                <w:sz w:val="20"/>
                <w:szCs w:val="20"/>
              </w:rPr>
            </w:pPr>
          </w:p>
        </w:tc>
        <w:tc>
          <w:tcPr>
            <w:tcW w:w="1417" w:type="dxa"/>
            <w:gridSpan w:val="2"/>
            <w:shd w:val="clear" w:color="auto" w:fill="A8D08D"/>
          </w:tcPr>
          <w:p w14:paraId="3706A5D6" w14:textId="77777777" w:rsidR="00D41C60" w:rsidRPr="008E17C8" w:rsidRDefault="00D41C60" w:rsidP="00B06E6D">
            <w:pPr>
              <w:jc w:val="both"/>
              <w:rPr>
                <w:rFonts w:ascii="Times New Roman" w:hAnsi="Times New Roman" w:cs="Times New Roman"/>
                <w:sz w:val="20"/>
                <w:szCs w:val="20"/>
              </w:rPr>
            </w:pPr>
          </w:p>
        </w:tc>
        <w:tc>
          <w:tcPr>
            <w:tcW w:w="843" w:type="dxa"/>
            <w:shd w:val="clear" w:color="auto" w:fill="A8D08D"/>
          </w:tcPr>
          <w:p w14:paraId="1514CB20" w14:textId="77777777" w:rsidR="00D41C60" w:rsidRPr="008E17C8" w:rsidRDefault="00D41C60" w:rsidP="00B06E6D">
            <w:pPr>
              <w:jc w:val="both"/>
              <w:rPr>
                <w:rFonts w:ascii="Times New Roman" w:hAnsi="Times New Roman" w:cs="Times New Roman"/>
                <w:sz w:val="20"/>
                <w:szCs w:val="20"/>
              </w:rPr>
            </w:pPr>
          </w:p>
        </w:tc>
        <w:tc>
          <w:tcPr>
            <w:tcW w:w="1000" w:type="dxa"/>
            <w:shd w:val="clear" w:color="auto" w:fill="A8D08D"/>
          </w:tcPr>
          <w:p w14:paraId="59C14FEF"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8D08D"/>
          </w:tcPr>
          <w:p w14:paraId="68245E56" w14:textId="77777777" w:rsidR="00D41C60" w:rsidRPr="008E17C8" w:rsidRDefault="00D41C60" w:rsidP="00B06E6D">
            <w:pPr>
              <w:jc w:val="both"/>
              <w:rPr>
                <w:rFonts w:ascii="Times New Roman" w:hAnsi="Times New Roman" w:cs="Times New Roman"/>
                <w:sz w:val="20"/>
                <w:szCs w:val="20"/>
              </w:rPr>
            </w:pPr>
          </w:p>
        </w:tc>
        <w:tc>
          <w:tcPr>
            <w:tcW w:w="993" w:type="dxa"/>
            <w:shd w:val="clear" w:color="auto" w:fill="A8D08D"/>
          </w:tcPr>
          <w:p w14:paraId="5643F344"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8D08D"/>
          </w:tcPr>
          <w:p w14:paraId="07D8525F"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8D08D"/>
          </w:tcPr>
          <w:p w14:paraId="10DCB1C0" w14:textId="77777777" w:rsidR="00D41C60" w:rsidRPr="008E17C8" w:rsidRDefault="00D41C60" w:rsidP="00B06E6D">
            <w:pPr>
              <w:jc w:val="both"/>
              <w:rPr>
                <w:rFonts w:ascii="Times New Roman" w:hAnsi="Times New Roman" w:cs="Times New Roman"/>
                <w:sz w:val="20"/>
                <w:szCs w:val="20"/>
              </w:rPr>
            </w:pPr>
          </w:p>
        </w:tc>
        <w:tc>
          <w:tcPr>
            <w:tcW w:w="1427" w:type="dxa"/>
          </w:tcPr>
          <w:p w14:paraId="7D9BBECE" w14:textId="77777777" w:rsidR="00D41C60" w:rsidRPr="008E17C8" w:rsidRDefault="00D41C60" w:rsidP="00B06E6D">
            <w:pPr>
              <w:jc w:val="both"/>
              <w:rPr>
                <w:rFonts w:ascii="Times New Roman" w:hAnsi="Times New Roman" w:cs="Times New Roman"/>
                <w:sz w:val="20"/>
                <w:szCs w:val="20"/>
              </w:rPr>
            </w:pPr>
          </w:p>
        </w:tc>
      </w:tr>
      <w:tr w:rsidR="00B06E6D" w:rsidRPr="008E17C8" w14:paraId="54EB59D8" w14:textId="77777777" w:rsidTr="00B06E6D">
        <w:tc>
          <w:tcPr>
            <w:tcW w:w="419" w:type="dxa"/>
          </w:tcPr>
          <w:p w14:paraId="58870F50"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19</w:t>
            </w:r>
          </w:p>
        </w:tc>
        <w:tc>
          <w:tcPr>
            <w:tcW w:w="1100" w:type="dxa"/>
          </w:tcPr>
          <w:p w14:paraId="50634687" w14:textId="77777777" w:rsidR="00D41C60" w:rsidRPr="008E17C8" w:rsidRDefault="00D41C60" w:rsidP="00D41C60">
            <w:pPr>
              <w:pStyle w:val="Default"/>
              <w:rPr>
                <w:sz w:val="18"/>
                <w:szCs w:val="20"/>
              </w:rPr>
            </w:pPr>
            <w:r w:rsidRPr="008E17C8">
              <w:rPr>
                <w:iCs/>
                <w:sz w:val="18"/>
                <w:szCs w:val="20"/>
              </w:rPr>
              <w:t xml:space="preserve">Inne instytucje </w:t>
            </w:r>
            <w:r w:rsidRPr="008E17C8">
              <w:rPr>
                <w:iCs/>
                <w:sz w:val="18"/>
                <w:szCs w:val="20"/>
              </w:rPr>
              <w:lastRenderedPageBreak/>
              <w:t xml:space="preserve">finansowe </w:t>
            </w:r>
          </w:p>
          <w:p w14:paraId="0B959A6A" w14:textId="77777777" w:rsidR="00D41C60" w:rsidRPr="008E17C8" w:rsidRDefault="00D41C60" w:rsidP="00D41C60">
            <w:pPr>
              <w:rPr>
                <w:rFonts w:ascii="Times New Roman" w:hAnsi="Times New Roman" w:cs="Times New Roman"/>
                <w:sz w:val="18"/>
                <w:szCs w:val="20"/>
              </w:rPr>
            </w:pPr>
          </w:p>
        </w:tc>
        <w:tc>
          <w:tcPr>
            <w:tcW w:w="597" w:type="dxa"/>
            <w:shd w:val="clear" w:color="auto" w:fill="A8D08D"/>
          </w:tcPr>
          <w:p w14:paraId="0551812B" w14:textId="77777777" w:rsidR="00D41C60" w:rsidRPr="008E17C8" w:rsidRDefault="00D41C60" w:rsidP="00B06E6D">
            <w:pPr>
              <w:jc w:val="both"/>
              <w:rPr>
                <w:rFonts w:ascii="Times New Roman" w:hAnsi="Times New Roman" w:cs="Times New Roman"/>
                <w:sz w:val="20"/>
                <w:szCs w:val="20"/>
              </w:rPr>
            </w:pPr>
          </w:p>
        </w:tc>
        <w:tc>
          <w:tcPr>
            <w:tcW w:w="1446" w:type="dxa"/>
            <w:gridSpan w:val="2"/>
            <w:shd w:val="clear" w:color="auto" w:fill="A8D08D"/>
          </w:tcPr>
          <w:p w14:paraId="22D50BFD" w14:textId="77777777" w:rsidR="00D41C60" w:rsidRPr="008E17C8" w:rsidRDefault="00D41C60" w:rsidP="00B06E6D">
            <w:pPr>
              <w:jc w:val="both"/>
              <w:rPr>
                <w:rFonts w:ascii="Times New Roman" w:hAnsi="Times New Roman" w:cs="Times New Roman"/>
                <w:sz w:val="20"/>
                <w:szCs w:val="20"/>
              </w:rPr>
            </w:pPr>
          </w:p>
        </w:tc>
        <w:tc>
          <w:tcPr>
            <w:tcW w:w="1274" w:type="dxa"/>
            <w:shd w:val="clear" w:color="auto" w:fill="A8D08D"/>
          </w:tcPr>
          <w:p w14:paraId="6239B9AE" w14:textId="77777777" w:rsidR="00D41C60" w:rsidRPr="008E17C8" w:rsidRDefault="00D41C60" w:rsidP="00B06E6D">
            <w:pPr>
              <w:jc w:val="both"/>
              <w:rPr>
                <w:rFonts w:ascii="Times New Roman" w:hAnsi="Times New Roman" w:cs="Times New Roman"/>
                <w:sz w:val="20"/>
                <w:szCs w:val="20"/>
              </w:rPr>
            </w:pPr>
          </w:p>
        </w:tc>
        <w:tc>
          <w:tcPr>
            <w:tcW w:w="537" w:type="dxa"/>
            <w:shd w:val="clear" w:color="auto" w:fill="A8D08D"/>
          </w:tcPr>
          <w:p w14:paraId="5B954112" w14:textId="77777777" w:rsidR="00D41C60" w:rsidRPr="008E17C8" w:rsidRDefault="00D41C60" w:rsidP="00B06E6D">
            <w:pPr>
              <w:jc w:val="both"/>
              <w:rPr>
                <w:rFonts w:ascii="Times New Roman" w:hAnsi="Times New Roman" w:cs="Times New Roman"/>
                <w:sz w:val="20"/>
                <w:szCs w:val="20"/>
              </w:rPr>
            </w:pPr>
          </w:p>
        </w:tc>
        <w:tc>
          <w:tcPr>
            <w:tcW w:w="1417" w:type="dxa"/>
            <w:gridSpan w:val="2"/>
            <w:shd w:val="clear" w:color="auto" w:fill="A8D08D"/>
          </w:tcPr>
          <w:p w14:paraId="07EE28DB" w14:textId="77777777" w:rsidR="00D41C60" w:rsidRPr="008E17C8" w:rsidRDefault="00D41C60" w:rsidP="00B06E6D">
            <w:pPr>
              <w:jc w:val="both"/>
              <w:rPr>
                <w:rFonts w:ascii="Times New Roman" w:hAnsi="Times New Roman" w:cs="Times New Roman"/>
                <w:sz w:val="20"/>
                <w:szCs w:val="20"/>
              </w:rPr>
            </w:pPr>
          </w:p>
        </w:tc>
        <w:tc>
          <w:tcPr>
            <w:tcW w:w="843" w:type="dxa"/>
            <w:shd w:val="clear" w:color="auto" w:fill="A8D08D"/>
          </w:tcPr>
          <w:p w14:paraId="56A220D0" w14:textId="77777777" w:rsidR="00D41C60" w:rsidRPr="008E17C8" w:rsidRDefault="00D41C60" w:rsidP="00B06E6D">
            <w:pPr>
              <w:jc w:val="both"/>
              <w:rPr>
                <w:rFonts w:ascii="Times New Roman" w:hAnsi="Times New Roman" w:cs="Times New Roman"/>
                <w:sz w:val="20"/>
                <w:szCs w:val="20"/>
              </w:rPr>
            </w:pPr>
          </w:p>
        </w:tc>
        <w:tc>
          <w:tcPr>
            <w:tcW w:w="1000" w:type="dxa"/>
            <w:shd w:val="clear" w:color="auto" w:fill="A8D08D"/>
          </w:tcPr>
          <w:p w14:paraId="24D1C1CD"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8D08D"/>
          </w:tcPr>
          <w:p w14:paraId="1E04A114" w14:textId="77777777" w:rsidR="00D41C60" w:rsidRPr="008E17C8" w:rsidRDefault="00D41C60" w:rsidP="00B06E6D">
            <w:pPr>
              <w:jc w:val="both"/>
              <w:rPr>
                <w:rFonts w:ascii="Times New Roman" w:hAnsi="Times New Roman" w:cs="Times New Roman"/>
                <w:sz w:val="20"/>
                <w:szCs w:val="20"/>
              </w:rPr>
            </w:pPr>
          </w:p>
        </w:tc>
        <w:tc>
          <w:tcPr>
            <w:tcW w:w="993" w:type="dxa"/>
            <w:shd w:val="clear" w:color="auto" w:fill="A8D08D"/>
          </w:tcPr>
          <w:p w14:paraId="32A43A4F"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8D08D"/>
          </w:tcPr>
          <w:p w14:paraId="615DAB75"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8D08D"/>
          </w:tcPr>
          <w:p w14:paraId="6187A1A3" w14:textId="77777777" w:rsidR="00D41C60" w:rsidRPr="008E17C8" w:rsidRDefault="00D41C60" w:rsidP="00B06E6D">
            <w:pPr>
              <w:jc w:val="both"/>
              <w:rPr>
                <w:rFonts w:ascii="Times New Roman" w:hAnsi="Times New Roman" w:cs="Times New Roman"/>
                <w:sz w:val="20"/>
                <w:szCs w:val="20"/>
              </w:rPr>
            </w:pPr>
          </w:p>
        </w:tc>
        <w:tc>
          <w:tcPr>
            <w:tcW w:w="1427" w:type="dxa"/>
          </w:tcPr>
          <w:p w14:paraId="2B50C6E7" w14:textId="77777777" w:rsidR="00D41C60" w:rsidRPr="008E17C8" w:rsidRDefault="00D41C60" w:rsidP="00B06E6D">
            <w:pPr>
              <w:jc w:val="both"/>
              <w:rPr>
                <w:rFonts w:ascii="Times New Roman" w:hAnsi="Times New Roman" w:cs="Times New Roman"/>
                <w:sz w:val="20"/>
                <w:szCs w:val="20"/>
              </w:rPr>
            </w:pPr>
          </w:p>
        </w:tc>
      </w:tr>
      <w:tr w:rsidR="00B06E6D" w:rsidRPr="008E17C8" w14:paraId="1186BB1F" w14:textId="77777777" w:rsidTr="00B06E6D">
        <w:tc>
          <w:tcPr>
            <w:tcW w:w="419" w:type="dxa"/>
          </w:tcPr>
          <w:p w14:paraId="63E289B6"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lastRenderedPageBreak/>
              <w:t>20</w:t>
            </w:r>
          </w:p>
        </w:tc>
        <w:tc>
          <w:tcPr>
            <w:tcW w:w="1100" w:type="dxa"/>
          </w:tcPr>
          <w:p w14:paraId="04C9E795" w14:textId="77777777" w:rsidR="00D41C60" w:rsidRPr="008E17C8" w:rsidRDefault="00D41C60" w:rsidP="00D41C60">
            <w:pPr>
              <w:pStyle w:val="Default"/>
              <w:rPr>
                <w:sz w:val="18"/>
                <w:szCs w:val="20"/>
              </w:rPr>
            </w:pPr>
            <w:r w:rsidRPr="008E17C8">
              <w:rPr>
                <w:iCs/>
                <w:sz w:val="18"/>
                <w:szCs w:val="20"/>
              </w:rPr>
              <w:t xml:space="preserve">Przedsiębiorstwa niefinansowe </w:t>
            </w:r>
          </w:p>
          <w:p w14:paraId="50C5F826" w14:textId="77777777" w:rsidR="00D41C60" w:rsidRPr="008E17C8" w:rsidRDefault="00D41C60" w:rsidP="00D41C60">
            <w:pPr>
              <w:rPr>
                <w:rFonts w:ascii="Times New Roman" w:hAnsi="Times New Roman" w:cs="Times New Roman"/>
                <w:sz w:val="18"/>
                <w:szCs w:val="20"/>
              </w:rPr>
            </w:pPr>
          </w:p>
        </w:tc>
        <w:tc>
          <w:tcPr>
            <w:tcW w:w="597" w:type="dxa"/>
            <w:shd w:val="clear" w:color="auto" w:fill="A8D08D"/>
          </w:tcPr>
          <w:p w14:paraId="55CDAC69" w14:textId="77777777" w:rsidR="00D41C60" w:rsidRPr="008E17C8" w:rsidRDefault="00D41C60" w:rsidP="00B06E6D">
            <w:pPr>
              <w:jc w:val="both"/>
              <w:rPr>
                <w:rFonts w:ascii="Times New Roman" w:hAnsi="Times New Roman" w:cs="Times New Roman"/>
                <w:sz w:val="20"/>
                <w:szCs w:val="20"/>
              </w:rPr>
            </w:pPr>
          </w:p>
        </w:tc>
        <w:tc>
          <w:tcPr>
            <w:tcW w:w="1446" w:type="dxa"/>
            <w:gridSpan w:val="2"/>
            <w:shd w:val="clear" w:color="auto" w:fill="A8D08D"/>
          </w:tcPr>
          <w:p w14:paraId="4E5C137B" w14:textId="77777777" w:rsidR="00D41C60" w:rsidRPr="008E17C8" w:rsidRDefault="00D41C60" w:rsidP="00B06E6D">
            <w:pPr>
              <w:jc w:val="both"/>
              <w:rPr>
                <w:rFonts w:ascii="Times New Roman" w:hAnsi="Times New Roman" w:cs="Times New Roman"/>
                <w:sz w:val="20"/>
                <w:szCs w:val="20"/>
              </w:rPr>
            </w:pPr>
          </w:p>
        </w:tc>
        <w:tc>
          <w:tcPr>
            <w:tcW w:w="1274" w:type="dxa"/>
            <w:shd w:val="clear" w:color="auto" w:fill="A8D08D"/>
          </w:tcPr>
          <w:p w14:paraId="3D643FA2" w14:textId="77777777" w:rsidR="00D41C60" w:rsidRPr="008E17C8" w:rsidRDefault="00D41C60" w:rsidP="00B06E6D">
            <w:pPr>
              <w:jc w:val="both"/>
              <w:rPr>
                <w:rFonts w:ascii="Times New Roman" w:hAnsi="Times New Roman" w:cs="Times New Roman"/>
                <w:sz w:val="20"/>
                <w:szCs w:val="20"/>
              </w:rPr>
            </w:pPr>
          </w:p>
        </w:tc>
        <w:tc>
          <w:tcPr>
            <w:tcW w:w="537" w:type="dxa"/>
            <w:shd w:val="clear" w:color="auto" w:fill="A8D08D"/>
          </w:tcPr>
          <w:p w14:paraId="49E9FD8C" w14:textId="77777777" w:rsidR="00D41C60" w:rsidRPr="008E17C8" w:rsidRDefault="00D41C60" w:rsidP="00B06E6D">
            <w:pPr>
              <w:jc w:val="both"/>
              <w:rPr>
                <w:rFonts w:ascii="Times New Roman" w:hAnsi="Times New Roman" w:cs="Times New Roman"/>
                <w:sz w:val="20"/>
                <w:szCs w:val="20"/>
              </w:rPr>
            </w:pPr>
          </w:p>
        </w:tc>
        <w:tc>
          <w:tcPr>
            <w:tcW w:w="1417" w:type="dxa"/>
            <w:gridSpan w:val="2"/>
            <w:shd w:val="clear" w:color="auto" w:fill="A8D08D"/>
          </w:tcPr>
          <w:p w14:paraId="30B0B994" w14:textId="77777777" w:rsidR="00D41C60" w:rsidRPr="008E17C8" w:rsidRDefault="00D41C60" w:rsidP="00B06E6D">
            <w:pPr>
              <w:jc w:val="both"/>
              <w:rPr>
                <w:rFonts w:ascii="Times New Roman" w:hAnsi="Times New Roman" w:cs="Times New Roman"/>
                <w:sz w:val="20"/>
                <w:szCs w:val="20"/>
              </w:rPr>
            </w:pPr>
          </w:p>
        </w:tc>
        <w:tc>
          <w:tcPr>
            <w:tcW w:w="843" w:type="dxa"/>
            <w:shd w:val="clear" w:color="auto" w:fill="A8D08D"/>
          </w:tcPr>
          <w:p w14:paraId="06CC34D1" w14:textId="77777777" w:rsidR="00D41C60" w:rsidRPr="008E17C8" w:rsidRDefault="00D41C60" w:rsidP="00B06E6D">
            <w:pPr>
              <w:jc w:val="both"/>
              <w:rPr>
                <w:rFonts w:ascii="Times New Roman" w:hAnsi="Times New Roman" w:cs="Times New Roman"/>
                <w:sz w:val="20"/>
                <w:szCs w:val="20"/>
              </w:rPr>
            </w:pPr>
          </w:p>
        </w:tc>
        <w:tc>
          <w:tcPr>
            <w:tcW w:w="1000" w:type="dxa"/>
            <w:shd w:val="clear" w:color="auto" w:fill="A8D08D"/>
          </w:tcPr>
          <w:p w14:paraId="6312E56E"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8D08D"/>
          </w:tcPr>
          <w:p w14:paraId="66F88CF1" w14:textId="77777777" w:rsidR="00D41C60" w:rsidRPr="008E17C8" w:rsidRDefault="00D41C60" w:rsidP="00B06E6D">
            <w:pPr>
              <w:jc w:val="both"/>
              <w:rPr>
                <w:rFonts w:ascii="Times New Roman" w:hAnsi="Times New Roman" w:cs="Times New Roman"/>
                <w:sz w:val="20"/>
                <w:szCs w:val="20"/>
              </w:rPr>
            </w:pPr>
          </w:p>
        </w:tc>
        <w:tc>
          <w:tcPr>
            <w:tcW w:w="993" w:type="dxa"/>
            <w:shd w:val="clear" w:color="auto" w:fill="A8D08D"/>
          </w:tcPr>
          <w:p w14:paraId="6843ED8A"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8D08D"/>
          </w:tcPr>
          <w:p w14:paraId="10FCA7DE"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8D08D"/>
          </w:tcPr>
          <w:p w14:paraId="47C0B63B" w14:textId="77777777" w:rsidR="00D41C60" w:rsidRPr="008E17C8" w:rsidRDefault="00D41C60" w:rsidP="00B06E6D">
            <w:pPr>
              <w:jc w:val="both"/>
              <w:rPr>
                <w:rFonts w:ascii="Times New Roman" w:hAnsi="Times New Roman" w:cs="Times New Roman"/>
                <w:sz w:val="20"/>
                <w:szCs w:val="20"/>
              </w:rPr>
            </w:pPr>
          </w:p>
        </w:tc>
        <w:tc>
          <w:tcPr>
            <w:tcW w:w="1427" w:type="dxa"/>
          </w:tcPr>
          <w:p w14:paraId="471BD352" w14:textId="77777777" w:rsidR="00D41C60" w:rsidRPr="008E17C8" w:rsidRDefault="00D41C60" w:rsidP="00B06E6D">
            <w:pPr>
              <w:jc w:val="both"/>
              <w:rPr>
                <w:rFonts w:ascii="Times New Roman" w:hAnsi="Times New Roman" w:cs="Times New Roman"/>
                <w:sz w:val="20"/>
                <w:szCs w:val="20"/>
              </w:rPr>
            </w:pPr>
          </w:p>
        </w:tc>
      </w:tr>
      <w:tr w:rsidR="00B06E6D" w:rsidRPr="008E17C8" w14:paraId="169CC5A9" w14:textId="77777777" w:rsidTr="00B06E6D">
        <w:tc>
          <w:tcPr>
            <w:tcW w:w="419" w:type="dxa"/>
          </w:tcPr>
          <w:p w14:paraId="78C54EED"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21</w:t>
            </w:r>
          </w:p>
        </w:tc>
        <w:tc>
          <w:tcPr>
            <w:tcW w:w="1100" w:type="dxa"/>
          </w:tcPr>
          <w:p w14:paraId="4471E2EB" w14:textId="77777777" w:rsidR="00D41C60" w:rsidRPr="008E17C8" w:rsidRDefault="00D41C60" w:rsidP="00D41C60">
            <w:pPr>
              <w:rPr>
                <w:rFonts w:ascii="Times New Roman" w:hAnsi="Times New Roman" w:cs="Times New Roman"/>
                <w:sz w:val="18"/>
                <w:szCs w:val="20"/>
              </w:rPr>
            </w:pPr>
            <w:r w:rsidRPr="008E17C8">
              <w:rPr>
                <w:rFonts w:ascii="Times New Roman" w:hAnsi="Times New Roman" w:cs="Times New Roman"/>
                <w:sz w:val="18"/>
                <w:szCs w:val="20"/>
              </w:rPr>
              <w:t>Gospodarstwa domowe</w:t>
            </w:r>
          </w:p>
        </w:tc>
        <w:tc>
          <w:tcPr>
            <w:tcW w:w="597" w:type="dxa"/>
            <w:shd w:val="clear" w:color="auto" w:fill="A8D08D"/>
          </w:tcPr>
          <w:p w14:paraId="601B1EEC" w14:textId="77777777" w:rsidR="00D41C60" w:rsidRPr="008E17C8" w:rsidRDefault="00D41C60" w:rsidP="00B06E6D">
            <w:pPr>
              <w:jc w:val="both"/>
              <w:rPr>
                <w:rFonts w:ascii="Times New Roman" w:hAnsi="Times New Roman" w:cs="Times New Roman"/>
                <w:sz w:val="20"/>
                <w:szCs w:val="20"/>
              </w:rPr>
            </w:pPr>
          </w:p>
        </w:tc>
        <w:tc>
          <w:tcPr>
            <w:tcW w:w="1446" w:type="dxa"/>
            <w:gridSpan w:val="2"/>
            <w:shd w:val="clear" w:color="auto" w:fill="A8D08D"/>
          </w:tcPr>
          <w:p w14:paraId="0B7E1D81" w14:textId="77777777" w:rsidR="00D41C60" w:rsidRPr="008E17C8" w:rsidRDefault="00D41C60" w:rsidP="00B06E6D">
            <w:pPr>
              <w:jc w:val="both"/>
              <w:rPr>
                <w:rFonts w:ascii="Times New Roman" w:hAnsi="Times New Roman" w:cs="Times New Roman"/>
                <w:sz w:val="20"/>
                <w:szCs w:val="20"/>
              </w:rPr>
            </w:pPr>
          </w:p>
        </w:tc>
        <w:tc>
          <w:tcPr>
            <w:tcW w:w="1274" w:type="dxa"/>
            <w:shd w:val="clear" w:color="auto" w:fill="A8D08D"/>
          </w:tcPr>
          <w:p w14:paraId="003E8235" w14:textId="77777777" w:rsidR="00D41C60" w:rsidRPr="008E17C8" w:rsidRDefault="00D41C60" w:rsidP="00B06E6D">
            <w:pPr>
              <w:jc w:val="both"/>
              <w:rPr>
                <w:rFonts w:ascii="Times New Roman" w:hAnsi="Times New Roman" w:cs="Times New Roman"/>
                <w:sz w:val="20"/>
                <w:szCs w:val="20"/>
              </w:rPr>
            </w:pPr>
          </w:p>
        </w:tc>
        <w:tc>
          <w:tcPr>
            <w:tcW w:w="537" w:type="dxa"/>
            <w:shd w:val="clear" w:color="auto" w:fill="A8D08D"/>
          </w:tcPr>
          <w:p w14:paraId="7915E266" w14:textId="77777777" w:rsidR="00D41C60" w:rsidRPr="008E17C8" w:rsidRDefault="00D41C60" w:rsidP="00B06E6D">
            <w:pPr>
              <w:jc w:val="both"/>
              <w:rPr>
                <w:rFonts w:ascii="Times New Roman" w:hAnsi="Times New Roman" w:cs="Times New Roman"/>
                <w:sz w:val="20"/>
                <w:szCs w:val="20"/>
              </w:rPr>
            </w:pPr>
          </w:p>
        </w:tc>
        <w:tc>
          <w:tcPr>
            <w:tcW w:w="1417" w:type="dxa"/>
            <w:gridSpan w:val="2"/>
            <w:shd w:val="clear" w:color="auto" w:fill="A8D08D"/>
          </w:tcPr>
          <w:p w14:paraId="579B5745" w14:textId="77777777" w:rsidR="00D41C60" w:rsidRPr="008E17C8" w:rsidRDefault="00D41C60" w:rsidP="00B06E6D">
            <w:pPr>
              <w:jc w:val="both"/>
              <w:rPr>
                <w:rFonts w:ascii="Times New Roman" w:hAnsi="Times New Roman" w:cs="Times New Roman"/>
                <w:sz w:val="20"/>
                <w:szCs w:val="20"/>
              </w:rPr>
            </w:pPr>
          </w:p>
        </w:tc>
        <w:tc>
          <w:tcPr>
            <w:tcW w:w="843" w:type="dxa"/>
            <w:shd w:val="clear" w:color="auto" w:fill="A8D08D"/>
          </w:tcPr>
          <w:p w14:paraId="7D6FCFCC" w14:textId="77777777" w:rsidR="00D41C60" w:rsidRPr="008E17C8" w:rsidRDefault="00D41C60" w:rsidP="00B06E6D">
            <w:pPr>
              <w:jc w:val="both"/>
              <w:rPr>
                <w:rFonts w:ascii="Times New Roman" w:hAnsi="Times New Roman" w:cs="Times New Roman"/>
                <w:sz w:val="20"/>
                <w:szCs w:val="20"/>
              </w:rPr>
            </w:pPr>
          </w:p>
        </w:tc>
        <w:tc>
          <w:tcPr>
            <w:tcW w:w="1000" w:type="dxa"/>
            <w:shd w:val="clear" w:color="auto" w:fill="A8D08D"/>
          </w:tcPr>
          <w:p w14:paraId="4583CE3A"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8D08D"/>
          </w:tcPr>
          <w:p w14:paraId="6C8B707E" w14:textId="77777777" w:rsidR="00D41C60" w:rsidRPr="008E17C8" w:rsidRDefault="00D41C60" w:rsidP="00B06E6D">
            <w:pPr>
              <w:jc w:val="both"/>
              <w:rPr>
                <w:rFonts w:ascii="Times New Roman" w:hAnsi="Times New Roman" w:cs="Times New Roman"/>
                <w:sz w:val="20"/>
                <w:szCs w:val="20"/>
              </w:rPr>
            </w:pPr>
          </w:p>
        </w:tc>
        <w:tc>
          <w:tcPr>
            <w:tcW w:w="993" w:type="dxa"/>
            <w:shd w:val="clear" w:color="auto" w:fill="A8D08D"/>
          </w:tcPr>
          <w:p w14:paraId="3C67816B"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8D08D"/>
          </w:tcPr>
          <w:p w14:paraId="69DCB239"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A8D08D"/>
          </w:tcPr>
          <w:p w14:paraId="52AE1211" w14:textId="77777777" w:rsidR="00D41C60" w:rsidRPr="008E17C8" w:rsidRDefault="00D41C60" w:rsidP="00B06E6D">
            <w:pPr>
              <w:jc w:val="both"/>
              <w:rPr>
                <w:rFonts w:ascii="Times New Roman" w:hAnsi="Times New Roman" w:cs="Times New Roman"/>
                <w:sz w:val="20"/>
                <w:szCs w:val="20"/>
              </w:rPr>
            </w:pPr>
          </w:p>
        </w:tc>
        <w:tc>
          <w:tcPr>
            <w:tcW w:w="1427" w:type="dxa"/>
          </w:tcPr>
          <w:p w14:paraId="7AF7FC73" w14:textId="77777777" w:rsidR="00D41C60" w:rsidRPr="008E17C8" w:rsidRDefault="00D41C60" w:rsidP="00B06E6D">
            <w:pPr>
              <w:jc w:val="both"/>
              <w:rPr>
                <w:rFonts w:ascii="Times New Roman" w:hAnsi="Times New Roman" w:cs="Times New Roman"/>
                <w:sz w:val="20"/>
                <w:szCs w:val="20"/>
              </w:rPr>
            </w:pPr>
          </w:p>
        </w:tc>
      </w:tr>
      <w:tr w:rsidR="00B06E6D" w:rsidRPr="008E17C8" w14:paraId="39E1312C" w14:textId="77777777" w:rsidTr="00B06E6D">
        <w:tc>
          <w:tcPr>
            <w:tcW w:w="419" w:type="dxa"/>
          </w:tcPr>
          <w:p w14:paraId="17579DDE"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b/>
                <w:sz w:val="20"/>
                <w:szCs w:val="20"/>
              </w:rPr>
              <w:t>22</w:t>
            </w:r>
          </w:p>
        </w:tc>
        <w:tc>
          <w:tcPr>
            <w:tcW w:w="1100" w:type="dxa"/>
          </w:tcPr>
          <w:p w14:paraId="17500D57" w14:textId="77777777" w:rsidR="00D41C60" w:rsidRPr="008E17C8" w:rsidRDefault="00D41C60" w:rsidP="00D41C60">
            <w:pPr>
              <w:rPr>
                <w:rFonts w:ascii="Times New Roman" w:hAnsi="Times New Roman" w:cs="Times New Roman"/>
                <w:b/>
                <w:sz w:val="18"/>
                <w:szCs w:val="20"/>
              </w:rPr>
            </w:pPr>
            <w:r w:rsidRPr="008E17C8">
              <w:rPr>
                <w:rFonts w:ascii="Times New Roman" w:hAnsi="Times New Roman" w:cs="Times New Roman"/>
                <w:b/>
                <w:sz w:val="18"/>
                <w:szCs w:val="20"/>
              </w:rPr>
              <w:t>Łącznie</w:t>
            </w:r>
          </w:p>
        </w:tc>
        <w:tc>
          <w:tcPr>
            <w:tcW w:w="597" w:type="dxa"/>
          </w:tcPr>
          <w:p w14:paraId="751C8537" w14:textId="77777777" w:rsidR="00D41C60" w:rsidRPr="008E17C8" w:rsidRDefault="00D41C60" w:rsidP="00B06E6D">
            <w:pPr>
              <w:jc w:val="both"/>
              <w:rPr>
                <w:rFonts w:ascii="Times New Roman" w:hAnsi="Times New Roman" w:cs="Times New Roman"/>
                <w:sz w:val="20"/>
                <w:szCs w:val="20"/>
              </w:rPr>
            </w:pPr>
          </w:p>
        </w:tc>
        <w:tc>
          <w:tcPr>
            <w:tcW w:w="1446" w:type="dxa"/>
            <w:gridSpan w:val="2"/>
          </w:tcPr>
          <w:p w14:paraId="622F7B2D" w14:textId="77777777" w:rsidR="00D41C60" w:rsidRPr="008E17C8" w:rsidRDefault="00D41C60" w:rsidP="00B06E6D">
            <w:pPr>
              <w:jc w:val="both"/>
              <w:rPr>
                <w:rFonts w:ascii="Times New Roman" w:hAnsi="Times New Roman" w:cs="Times New Roman"/>
                <w:sz w:val="20"/>
                <w:szCs w:val="20"/>
              </w:rPr>
            </w:pPr>
          </w:p>
        </w:tc>
        <w:tc>
          <w:tcPr>
            <w:tcW w:w="1274" w:type="dxa"/>
          </w:tcPr>
          <w:p w14:paraId="52955246" w14:textId="77777777" w:rsidR="00D41C60" w:rsidRPr="008E17C8" w:rsidRDefault="00D41C60" w:rsidP="00B06E6D">
            <w:pPr>
              <w:jc w:val="both"/>
              <w:rPr>
                <w:rFonts w:ascii="Times New Roman" w:hAnsi="Times New Roman" w:cs="Times New Roman"/>
                <w:sz w:val="20"/>
                <w:szCs w:val="20"/>
              </w:rPr>
            </w:pPr>
          </w:p>
        </w:tc>
        <w:tc>
          <w:tcPr>
            <w:tcW w:w="537" w:type="dxa"/>
          </w:tcPr>
          <w:p w14:paraId="45823AF8" w14:textId="77777777" w:rsidR="00D41C60" w:rsidRPr="008E17C8" w:rsidRDefault="00D41C60" w:rsidP="00B06E6D">
            <w:pPr>
              <w:jc w:val="both"/>
              <w:rPr>
                <w:rFonts w:ascii="Times New Roman" w:hAnsi="Times New Roman" w:cs="Times New Roman"/>
                <w:sz w:val="20"/>
                <w:szCs w:val="20"/>
              </w:rPr>
            </w:pPr>
          </w:p>
        </w:tc>
        <w:tc>
          <w:tcPr>
            <w:tcW w:w="1417" w:type="dxa"/>
            <w:gridSpan w:val="2"/>
          </w:tcPr>
          <w:p w14:paraId="301D1961" w14:textId="77777777" w:rsidR="00D41C60" w:rsidRPr="008E17C8" w:rsidRDefault="00D41C60" w:rsidP="00B06E6D">
            <w:pPr>
              <w:jc w:val="both"/>
              <w:rPr>
                <w:rFonts w:ascii="Times New Roman" w:hAnsi="Times New Roman" w:cs="Times New Roman"/>
                <w:sz w:val="20"/>
                <w:szCs w:val="20"/>
              </w:rPr>
            </w:pPr>
          </w:p>
        </w:tc>
        <w:tc>
          <w:tcPr>
            <w:tcW w:w="843" w:type="dxa"/>
          </w:tcPr>
          <w:p w14:paraId="67637D8C" w14:textId="77777777" w:rsidR="00D41C60" w:rsidRPr="008E17C8" w:rsidRDefault="00D41C60" w:rsidP="00B06E6D">
            <w:pPr>
              <w:jc w:val="both"/>
              <w:rPr>
                <w:rFonts w:ascii="Times New Roman" w:hAnsi="Times New Roman" w:cs="Times New Roman"/>
                <w:sz w:val="20"/>
                <w:szCs w:val="20"/>
              </w:rPr>
            </w:pPr>
          </w:p>
        </w:tc>
        <w:tc>
          <w:tcPr>
            <w:tcW w:w="1000" w:type="dxa"/>
          </w:tcPr>
          <w:p w14:paraId="6ED43F7F" w14:textId="77777777" w:rsidR="00D41C60" w:rsidRPr="008E17C8" w:rsidRDefault="00D41C60" w:rsidP="00B06E6D">
            <w:pPr>
              <w:jc w:val="both"/>
              <w:rPr>
                <w:rFonts w:ascii="Times New Roman" w:hAnsi="Times New Roman" w:cs="Times New Roman"/>
                <w:sz w:val="20"/>
                <w:szCs w:val="20"/>
              </w:rPr>
            </w:pPr>
          </w:p>
        </w:tc>
        <w:tc>
          <w:tcPr>
            <w:tcW w:w="992" w:type="dxa"/>
          </w:tcPr>
          <w:p w14:paraId="5F94CA98" w14:textId="77777777" w:rsidR="00D41C60" w:rsidRPr="008E17C8" w:rsidRDefault="00D41C60" w:rsidP="00B06E6D">
            <w:pPr>
              <w:jc w:val="both"/>
              <w:rPr>
                <w:rFonts w:ascii="Times New Roman" w:hAnsi="Times New Roman" w:cs="Times New Roman"/>
                <w:sz w:val="20"/>
                <w:szCs w:val="20"/>
              </w:rPr>
            </w:pPr>
          </w:p>
        </w:tc>
        <w:tc>
          <w:tcPr>
            <w:tcW w:w="993" w:type="dxa"/>
          </w:tcPr>
          <w:p w14:paraId="6A2D12F1" w14:textId="77777777" w:rsidR="00D41C60" w:rsidRPr="008E17C8" w:rsidRDefault="00D41C60" w:rsidP="00B06E6D">
            <w:pPr>
              <w:jc w:val="both"/>
              <w:rPr>
                <w:rFonts w:ascii="Times New Roman" w:hAnsi="Times New Roman" w:cs="Times New Roman"/>
                <w:sz w:val="20"/>
                <w:szCs w:val="20"/>
              </w:rPr>
            </w:pPr>
          </w:p>
        </w:tc>
        <w:tc>
          <w:tcPr>
            <w:tcW w:w="992" w:type="dxa"/>
          </w:tcPr>
          <w:p w14:paraId="5E3C8CB4" w14:textId="77777777" w:rsidR="00D41C60" w:rsidRPr="008E17C8" w:rsidRDefault="00D41C60" w:rsidP="00B06E6D">
            <w:pPr>
              <w:jc w:val="both"/>
              <w:rPr>
                <w:rFonts w:ascii="Times New Roman" w:hAnsi="Times New Roman" w:cs="Times New Roman"/>
                <w:sz w:val="20"/>
                <w:szCs w:val="20"/>
              </w:rPr>
            </w:pPr>
          </w:p>
        </w:tc>
        <w:tc>
          <w:tcPr>
            <w:tcW w:w="992" w:type="dxa"/>
          </w:tcPr>
          <w:p w14:paraId="53EEB779" w14:textId="77777777" w:rsidR="00D41C60" w:rsidRPr="008E17C8" w:rsidRDefault="00D41C60" w:rsidP="00B06E6D">
            <w:pPr>
              <w:jc w:val="both"/>
              <w:rPr>
                <w:rFonts w:ascii="Times New Roman" w:hAnsi="Times New Roman" w:cs="Times New Roman"/>
                <w:sz w:val="20"/>
                <w:szCs w:val="20"/>
              </w:rPr>
            </w:pPr>
          </w:p>
        </w:tc>
        <w:tc>
          <w:tcPr>
            <w:tcW w:w="1427" w:type="dxa"/>
          </w:tcPr>
          <w:p w14:paraId="08016DE2" w14:textId="77777777" w:rsidR="00D41C60" w:rsidRPr="008E17C8" w:rsidRDefault="00D41C60" w:rsidP="00B06E6D">
            <w:pPr>
              <w:jc w:val="both"/>
              <w:rPr>
                <w:rFonts w:ascii="Times New Roman" w:hAnsi="Times New Roman" w:cs="Times New Roman"/>
                <w:sz w:val="20"/>
                <w:szCs w:val="20"/>
              </w:rPr>
            </w:pPr>
          </w:p>
        </w:tc>
      </w:tr>
    </w:tbl>
    <w:p w14:paraId="0F28360F" w14:textId="77777777" w:rsidR="00D41C60" w:rsidRPr="008E17C8" w:rsidRDefault="00D41C60" w:rsidP="00D41C60">
      <w:pPr>
        <w:rPr>
          <w:rFonts w:ascii="Times New Roman" w:hAnsi="Times New Roman" w:cs="Times New Roman"/>
        </w:rPr>
      </w:pPr>
    </w:p>
    <w:tbl>
      <w:tblPr>
        <w:tblW w:w="15026" w:type="dxa"/>
        <w:tblCellMar>
          <w:left w:w="70" w:type="dxa"/>
          <w:right w:w="70" w:type="dxa"/>
        </w:tblCellMar>
        <w:tblLook w:val="04A0" w:firstRow="1" w:lastRow="0" w:firstColumn="1" w:lastColumn="0" w:noHBand="0" w:noVBand="1"/>
      </w:tblPr>
      <w:tblGrid>
        <w:gridCol w:w="1880"/>
        <w:gridCol w:w="4499"/>
        <w:gridCol w:w="425"/>
        <w:gridCol w:w="8222"/>
      </w:tblGrid>
      <w:tr w:rsidR="00D41C60" w:rsidRPr="008E17C8" w14:paraId="0B0E4256" w14:textId="77777777" w:rsidTr="00D41C60">
        <w:trPr>
          <w:gridAfter w:val="3"/>
          <w:wAfter w:w="13146" w:type="dxa"/>
          <w:trHeight w:val="288"/>
        </w:trPr>
        <w:tc>
          <w:tcPr>
            <w:tcW w:w="1880" w:type="dxa"/>
            <w:tcBorders>
              <w:top w:val="nil"/>
              <w:bottom w:val="single" w:sz="4" w:space="0" w:color="auto"/>
            </w:tcBorders>
            <w:shd w:val="clear" w:color="000000" w:fill="FFFFFF"/>
            <w:vAlign w:val="bottom"/>
            <w:hideMark/>
          </w:tcPr>
          <w:p w14:paraId="14AEA575" w14:textId="77777777" w:rsidR="00D41C60" w:rsidRPr="008E17C8" w:rsidRDefault="00D41C60" w:rsidP="00D41C60">
            <w:pPr>
              <w:jc w:val="center"/>
              <w:rPr>
                <w:rFonts w:ascii="Times New Roman" w:hAnsi="Times New Roman" w:cs="Times New Roman"/>
                <w:b/>
                <w:bCs/>
                <w:sz w:val="22"/>
                <w:szCs w:val="22"/>
              </w:rPr>
            </w:pPr>
            <w:r w:rsidRPr="008E17C8">
              <w:rPr>
                <w:rFonts w:ascii="Times New Roman" w:hAnsi="Times New Roman" w:cs="Times New Roman"/>
                <w:b/>
                <w:bCs/>
                <w:sz w:val="22"/>
                <w:szCs w:val="22"/>
              </w:rPr>
              <w:t>Legenda:</w:t>
            </w:r>
          </w:p>
        </w:tc>
      </w:tr>
      <w:tr w:rsidR="00D41C60" w:rsidRPr="008E17C8" w14:paraId="236E7E4B" w14:textId="77777777" w:rsidTr="00D41C60">
        <w:trPr>
          <w:gridAfter w:val="1"/>
          <w:wAfter w:w="8222" w:type="dxa"/>
          <w:trHeight w:val="300"/>
        </w:trPr>
        <w:tc>
          <w:tcPr>
            <w:tcW w:w="1880" w:type="dxa"/>
            <w:tcBorders>
              <w:top w:val="single" w:sz="4" w:space="0" w:color="auto"/>
              <w:left w:val="single" w:sz="4" w:space="0" w:color="auto"/>
              <w:bottom w:val="single" w:sz="4" w:space="0" w:color="auto"/>
              <w:right w:val="single" w:sz="4" w:space="0" w:color="auto"/>
            </w:tcBorders>
            <w:noWrap/>
            <w:vAlign w:val="bottom"/>
            <w:hideMark/>
          </w:tcPr>
          <w:p w14:paraId="3D13A600" w14:textId="77777777" w:rsidR="00D41C60" w:rsidRPr="008E17C8" w:rsidRDefault="00D41C60" w:rsidP="00D41C60">
            <w:pPr>
              <w:rPr>
                <w:rFonts w:ascii="Times New Roman" w:hAnsi="Times New Roman" w:cs="Times New Roman"/>
                <w:color w:val="000000"/>
                <w:sz w:val="22"/>
                <w:szCs w:val="22"/>
              </w:rPr>
            </w:pPr>
            <w:r w:rsidRPr="008E17C8">
              <w:rPr>
                <w:rFonts w:ascii="Times New Roman" w:hAnsi="Times New Roman" w:cs="Times New Roman"/>
                <w:color w:val="000000"/>
                <w:sz w:val="22"/>
                <w:szCs w:val="22"/>
              </w:rPr>
              <w:t> </w:t>
            </w:r>
          </w:p>
        </w:tc>
        <w:tc>
          <w:tcPr>
            <w:tcW w:w="4924" w:type="dxa"/>
            <w:gridSpan w:val="2"/>
            <w:vAlign w:val="center"/>
          </w:tcPr>
          <w:p w14:paraId="35D40FCA" w14:textId="77777777" w:rsidR="00D41C60" w:rsidRPr="008E17C8" w:rsidRDefault="00D41C60" w:rsidP="00D41C60">
            <w:pPr>
              <w:spacing w:after="200" w:line="276" w:lineRule="auto"/>
              <w:rPr>
                <w:rFonts w:ascii="Times New Roman" w:hAnsi="Times New Roman" w:cs="Times New Roman"/>
                <w:sz w:val="20"/>
                <w:szCs w:val="20"/>
              </w:rPr>
            </w:pPr>
            <w:r w:rsidRPr="008E17C8">
              <w:rPr>
                <w:rFonts w:ascii="Times New Roman" w:hAnsi="Times New Roman" w:cs="Times New Roman"/>
                <w:color w:val="000000"/>
                <w:sz w:val="22"/>
                <w:szCs w:val="22"/>
              </w:rPr>
              <w:t>pola, których wypełnianie jest obowiązkowe</w:t>
            </w:r>
          </w:p>
        </w:tc>
      </w:tr>
      <w:tr w:rsidR="00D41C60" w:rsidRPr="008E17C8" w14:paraId="2D4248C7" w14:textId="77777777" w:rsidTr="00D41C60">
        <w:trPr>
          <w:gridAfter w:val="2"/>
          <w:wAfter w:w="8647" w:type="dxa"/>
          <w:trHeight w:val="300"/>
        </w:trPr>
        <w:tc>
          <w:tcPr>
            <w:tcW w:w="1880" w:type="dxa"/>
            <w:tcBorders>
              <w:top w:val="single" w:sz="4" w:space="0" w:color="auto"/>
              <w:left w:val="single" w:sz="4" w:space="0" w:color="auto"/>
              <w:bottom w:val="single" w:sz="4" w:space="0" w:color="auto"/>
              <w:right w:val="single" w:sz="4" w:space="0" w:color="auto"/>
            </w:tcBorders>
            <w:shd w:val="clear" w:color="auto" w:fill="A6A6A6"/>
            <w:noWrap/>
            <w:vAlign w:val="bottom"/>
            <w:hideMark/>
          </w:tcPr>
          <w:p w14:paraId="60EFC8C7" w14:textId="77777777" w:rsidR="00D41C60" w:rsidRPr="008E17C8" w:rsidRDefault="00D41C60" w:rsidP="00D41C60">
            <w:pPr>
              <w:rPr>
                <w:rFonts w:ascii="Times New Roman" w:hAnsi="Times New Roman" w:cs="Times New Roman"/>
                <w:b/>
                <w:bCs/>
                <w:color w:val="3F3F3F"/>
                <w:sz w:val="22"/>
                <w:szCs w:val="22"/>
              </w:rPr>
            </w:pPr>
            <w:r w:rsidRPr="008E17C8">
              <w:rPr>
                <w:rFonts w:ascii="Times New Roman" w:hAnsi="Times New Roman" w:cs="Times New Roman"/>
                <w:b/>
                <w:bCs/>
                <w:color w:val="3F3F3F"/>
                <w:sz w:val="22"/>
                <w:szCs w:val="22"/>
              </w:rPr>
              <w:t> </w:t>
            </w:r>
          </w:p>
        </w:tc>
        <w:tc>
          <w:tcPr>
            <w:tcW w:w="4499" w:type="dxa"/>
            <w:vAlign w:val="bottom"/>
          </w:tcPr>
          <w:p w14:paraId="69F669B6" w14:textId="77777777" w:rsidR="00D41C60" w:rsidRPr="008E17C8" w:rsidRDefault="00D41C60" w:rsidP="00D41C60">
            <w:pPr>
              <w:spacing w:after="200" w:line="276" w:lineRule="auto"/>
              <w:rPr>
                <w:rFonts w:ascii="Times New Roman" w:hAnsi="Times New Roman" w:cs="Times New Roman"/>
                <w:sz w:val="20"/>
                <w:szCs w:val="20"/>
              </w:rPr>
            </w:pPr>
            <w:r w:rsidRPr="008E17C8">
              <w:rPr>
                <w:rFonts w:ascii="Times New Roman" w:hAnsi="Times New Roman" w:cs="Times New Roman"/>
                <w:color w:val="000000"/>
                <w:sz w:val="22"/>
                <w:szCs w:val="22"/>
              </w:rPr>
              <w:t>pola, których wypełnianie jest nieobowiązkowe</w:t>
            </w:r>
          </w:p>
        </w:tc>
      </w:tr>
      <w:tr w:rsidR="00D41C60" w:rsidRPr="008E17C8" w14:paraId="787AF6B9" w14:textId="77777777" w:rsidTr="00D41C60">
        <w:trPr>
          <w:trHeight w:val="524"/>
        </w:trPr>
        <w:tc>
          <w:tcPr>
            <w:tcW w:w="1880" w:type="dxa"/>
            <w:tcBorders>
              <w:top w:val="single" w:sz="4" w:space="0" w:color="auto"/>
              <w:left w:val="single" w:sz="4" w:space="0" w:color="auto"/>
              <w:bottom w:val="single" w:sz="4" w:space="0" w:color="auto"/>
              <w:right w:val="single" w:sz="4" w:space="0" w:color="auto"/>
            </w:tcBorders>
            <w:shd w:val="clear" w:color="auto" w:fill="A8D08D"/>
            <w:noWrap/>
            <w:vAlign w:val="bottom"/>
            <w:hideMark/>
          </w:tcPr>
          <w:p w14:paraId="62EED614" w14:textId="77777777" w:rsidR="00D41C60" w:rsidRPr="008E17C8" w:rsidRDefault="00D41C60" w:rsidP="00D41C60">
            <w:pPr>
              <w:rPr>
                <w:rFonts w:ascii="Times New Roman" w:hAnsi="Times New Roman" w:cs="Times New Roman"/>
                <w:color w:val="0D0D0D"/>
                <w:sz w:val="22"/>
                <w:szCs w:val="22"/>
              </w:rPr>
            </w:pPr>
            <w:r w:rsidRPr="008E17C8">
              <w:rPr>
                <w:rFonts w:ascii="Times New Roman" w:hAnsi="Times New Roman" w:cs="Times New Roman"/>
                <w:color w:val="0D0D0D"/>
                <w:sz w:val="22"/>
                <w:szCs w:val="22"/>
              </w:rPr>
              <w:t> </w:t>
            </w:r>
          </w:p>
        </w:tc>
        <w:tc>
          <w:tcPr>
            <w:tcW w:w="13146" w:type="dxa"/>
            <w:gridSpan w:val="3"/>
            <w:vAlign w:val="bottom"/>
          </w:tcPr>
          <w:p w14:paraId="7F97AAA8" w14:textId="77777777" w:rsidR="00D41C60" w:rsidRPr="008E17C8" w:rsidRDefault="00D41C60" w:rsidP="00D41C60">
            <w:pPr>
              <w:spacing w:after="200" w:line="276" w:lineRule="auto"/>
              <w:rPr>
                <w:rFonts w:ascii="Times New Roman" w:hAnsi="Times New Roman" w:cs="Times New Roman"/>
                <w:sz w:val="20"/>
                <w:szCs w:val="20"/>
              </w:rPr>
            </w:pPr>
            <w:r w:rsidRPr="008E17C8">
              <w:rPr>
                <w:rFonts w:ascii="Times New Roman" w:hAnsi="Times New Roman" w:cs="Times New Roman"/>
                <w:sz w:val="22"/>
                <w:szCs w:val="22"/>
              </w:rPr>
              <w:t>pola zablokowane, zgodnie ze wzorcem zaprezentowanym w  „Wytycznych dotyczących ujawniania w zakresie ekspozycji nieobsługiwanych i restrukturyzowanych” (EBA/GL/2018/10)</w:t>
            </w:r>
          </w:p>
        </w:tc>
      </w:tr>
      <w:tr w:rsidR="00D41C60" w:rsidRPr="008E17C8" w14:paraId="720765CF" w14:textId="77777777" w:rsidTr="00D41C60">
        <w:trPr>
          <w:trHeight w:val="607"/>
        </w:trPr>
        <w:tc>
          <w:tcPr>
            <w:tcW w:w="1880" w:type="dxa"/>
            <w:tcBorders>
              <w:top w:val="single" w:sz="4" w:space="0" w:color="auto"/>
              <w:left w:val="single" w:sz="4" w:space="0" w:color="auto"/>
              <w:bottom w:val="single" w:sz="4" w:space="0" w:color="3F3F3F"/>
              <w:right w:val="single" w:sz="4" w:space="0" w:color="auto"/>
            </w:tcBorders>
            <w:shd w:val="clear" w:color="auto" w:fill="538135"/>
            <w:noWrap/>
            <w:vAlign w:val="bottom"/>
          </w:tcPr>
          <w:p w14:paraId="2058159D" w14:textId="77777777" w:rsidR="00D41C60" w:rsidRPr="008E17C8" w:rsidRDefault="00D41C60" w:rsidP="00D41C60">
            <w:pPr>
              <w:rPr>
                <w:rFonts w:ascii="Times New Roman" w:hAnsi="Times New Roman" w:cs="Times New Roman"/>
                <w:color w:val="0D0D0D"/>
                <w:sz w:val="22"/>
                <w:szCs w:val="22"/>
              </w:rPr>
            </w:pPr>
          </w:p>
        </w:tc>
        <w:tc>
          <w:tcPr>
            <w:tcW w:w="13146" w:type="dxa"/>
            <w:gridSpan w:val="3"/>
            <w:vAlign w:val="bottom"/>
          </w:tcPr>
          <w:p w14:paraId="6E41EBFE" w14:textId="77777777" w:rsidR="00D41C60" w:rsidRPr="008E17C8" w:rsidRDefault="00D41C60" w:rsidP="00D41C60">
            <w:pPr>
              <w:spacing w:after="200" w:line="276" w:lineRule="auto"/>
              <w:rPr>
                <w:rFonts w:ascii="Times New Roman" w:hAnsi="Times New Roman" w:cs="Times New Roman"/>
                <w:sz w:val="22"/>
                <w:szCs w:val="22"/>
              </w:rPr>
            </w:pPr>
            <w:r w:rsidRPr="008E17C8">
              <w:rPr>
                <w:rFonts w:ascii="Times New Roman" w:hAnsi="Times New Roman" w:cs="Times New Roman"/>
                <w:sz w:val="22"/>
                <w:szCs w:val="22"/>
              </w:rPr>
              <w:t>kolumny „h” oraz „i” -  dostosowano do podziału terminowego obowiązującego w sprawozdawczości FINREP , formularz F.18, w wytycznych EBA obowiązują przedziały: kol „h” - przeterminowane &gt;1 rok &lt;=2 lata, kol „i” - przeterminowane &gt;2 lata&lt;=5 lat</w:t>
            </w:r>
          </w:p>
        </w:tc>
      </w:tr>
    </w:tbl>
    <w:p w14:paraId="20D99DD4" w14:textId="77777777" w:rsidR="00D41C60" w:rsidRPr="008E17C8" w:rsidRDefault="00D41C60" w:rsidP="00D41C60">
      <w:pPr>
        <w:rPr>
          <w:rFonts w:ascii="Times New Roman" w:hAnsi="Times New Roman" w:cs="Times New Roman"/>
          <w:sz w:val="16"/>
          <w:szCs w:val="16"/>
        </w:rPr>
      </w:pPr>
    </w:p>
    <w:p w14:paraId="57888995" w14:textId="77777777" w:rsidR="00D41C60" w:rsidRPr="008E17C8" w:rsidRDefault="00D41C60" w:rsidP="00D41C60">
      <w:pPr>
        <w:rPr>
          <w:rFonts w:ascii="Times New Roman" w:hAnsi="Times New Roman" w:cs="Times New Roman"/>
          <w:b/>
          <w:color w:val="00B050"/>
          <w:u w:val="single"/>
        </w:rPr>
      </w:pPr>
      <w:r w:rsidRPr="008E17C8">
        <w:rPr>
          <w:rFonts w:ascii="Times New Roman" w:hAnsi="Times New Roman" w:cs="Times New Roman"/>
          <w:b/>
          <w:color w:val="00B050"/>
          <w:u w:val="single"/>
        </w:rPr>
        <w:t>Instrukcja wypełniania</w:t>
      </w:r>
    </w:p>
    <w:p w14:paraId="2C13027B" w14:textId="77777777" w:rsidR="00D41C60" w:rsidRPr="008E17C8" w:rsidRDefault="00D41C60" w:rsidP="00D41C60">
      <w:pPr>
        <w:rPr>
          <w:rFonts w:ascii="Times New Roman" w:hAnsi="Times New Roman" w:cs="Times New Roman"/>
          <w:b/>
          <w:color w:val="00B050"/>
          <w:szCs w:val="16"/>
        </w:rPr>
      </w:pPr>
    </w:p>
    <w:p w14:paraId="7052EAFE" w14:textId="77777777" w:rsidR="00D41C60" w:rsidRPr="008E17C8" w:rsidRDefault="00D41C60" w:rsidP="00D41C60">
      <w:pPr>
        <w:rPr>
          <w:rFonts w:ascii="Times New Roman" w:hAnsi="Times New Roman" w:cs="Times New Roman"/>
          <w:b/>
          <w:color w:val="00B050"/>
          <w:sz w:val="16"/>
          <w:szCs w:val="16"/>
          <w:u w:val="single"/>
        </w:rPr>
      </w:pPr>
      <w:r w:rsidRPr="008E17C8">
        <w:rPr>
          <w:rFonts w:ascii="Times New Roman" w:hAnsi="Times New Roman" w:cs="Times New Roman"/>
          <w:b/>
          <w:color w:val="00B050"/>
          <w:szCs w:val="16"/>
          <w:u w:val="single"/>
        </w:rPr>
        <w:t>Kolumny:</w:t>
      </w:r>
    </w:p>
    <w:p w14:paraId="380E08F6" w14:textId="77777777" w:rsidR="00D41C60" w:rsidRPr="008E17C8" w:rsidRDefault="00D41C60" w:rsidP="00D41C60">
      <w:pPr>
        <w:rPr>
          <w:rFonts w:ascii="Times New Roman" w:hAnsi="Times New Roman" w:cs="Times New Roman"/>
          <w:b/>
          <w:color w:val="00B050"/>
          <w:szCs w:val="16"/>
        </w:rPr>
      </w:pPr>
    </w:p>
    <w:p w14:paraId="0D7A946C" w14:textId="77777777" w:rsidR="00D41C60" w:rsidRPr="008E17C8" w:rsidRDefault="00D41C60" w:rsidP="00D41C60">
      <w:pPr>
        <w:rPr>
          <w:rFonts w:ascii="Times New Roman" w:hAnsi="Times New Roman" w:cs="Times New Roman"/>
          <w:color w:val="00B050"/>
          <w:szCs w:val="16"/>
        </w:rPr>
      </w:pPr>
      <w:r w:rsidRPr="008E17C8">
        <w:rPr>
          <w:rFonts w:ascii="Times New Roman" w:hAnsi="Times New Roman" w:cs="Times New Roman"/>
          <w:b/>
          <w:color w:val="00B050"/>
          <w:szCs w:val="16"/>
        </w:rPr>
        <w:t>Wartość bilansowa brutto</w:t>
      </w:r>
      <w:r w:rsidRPr="008E17C8">
        <w:rPr>
          <w:rFonts w:ascii="Times New Roman" w:hAnsi="Times New Roman" w:cs="Times New Roman"/>
          <w:color w:val="00B050"/>
          <w:szCs w:val="16"/>
        </w:rPr>
        <w:t>: zob. definicja podana w Tabeli 1 („Jakość kredytowa ekspozycji restrukturyzowanych”).</w:t>
      </w:r>
    </w:p>
    <w:p w14:paraId="329C988D" w14:textId="77777777" w:rsidR="00D41C60" w:rsidRPr="008E17C8" w:rsidRDefault="00D41C60" w:rsidP="00D41C60">
      <w:pPr>
        <w:rPr>
          <w:rFonts w:ascii="Times New Roman" w:hAnsi="Times New Roman" w:cs="Times New Roman"/>
          <w:b/>
          <w:color w:val="00B050"/>
          <w:szCs w:val="16"/>
        </w:rPr>
      </w:pPr>
    </w:p>
    <w:p w14:paraId="3C951E3B" w14:textId="77777777" w:rsidR="00D41C60" w:rsidRPr="008E17C8" w:rsidRDefault="00D41C60" w:rsidP="00D41C60">
      <w:pPr>
        <w:rPr>
          <w:rFonts w:ascii="Times New Roman" w:hAnsi="Times New Roman" w:cs="Times New Roman"/>
          <w:color w:val="00B050"/>
          <w:szCs w:val="16"/>
        </w:rPr>
      </w:pPr>
      <w:r w:rsidRPr="008E17C8">
        <w:rPr>
          <w:rFonts w:ascii="Times New Roman" w:hAnsi="Times New Roman" w:cs="Times New Roman"/>
          <w:b/>
          <w:color w:val="00B050"/>
          <w:szCs w:val="16"/>
        </w:rPr>
        <w:t>Ekspozycje nieobsługiwane</w:t>
      </w:r>
      <w:r w:rsidRPr="008E17C8">
        <w:rPr>
          <w:rFonts w:ascii="Times New Roman" w:hAnsi="Times New Roman" w:cs="Times New Roman"/>
          <w:color w:val="00B050"/>
          <w:szCs w:val="16"/>
        </w:rPr>
        <w:t>: zgodnie z definicją w załączniku V część 2 pkt 213 do rozporządzenia wykonawczego Komisji (UE) nr 680/2014.</w:t>
      </w:r>
    </w:p>
    <w:p w14:paraId="3FB5A270" w14:textId="77777777" w:rsidR="00D41C60" w:rsidRPr="008E17C8" w:rsidRDefault="00D41C60" w:rsidP="00D41C60">
      <w:pPr>
        <w:rPr>
          <w:rFonts w:ascii="Times New Roman" w:hAnsi="Times New Roman" w:cs="Times New Roman"/>
          <w:color w:val="00B050"/>
          <w:szCs w:val="16"/>
        </w:rPr>
      </w:pPr>
    </w:p>
    <w:p w14:paraId="362576D5"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213.  za ekspozycje nieobsługiwane uznaje się ekspozycje, które spełniają dowolne z poniższych kryteriów:</w:t>
      </w:r>
    </w:p>
    <w:p w14:paraId="564CA28B"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a) przeterminowanie istotnych ekspozycji o ponad 90 dni;</w:t>
      </w:r>
    </w:p>
    <w:p w14:paraId="55048E2E" w14:textId="77777777" w:rsidR="00D41C60" w:rsidRPr="008E17C8" w:rsidRDefault="00D41C60" w:rsidP="00D41C60">
      <w:pPr>
        <w:ind w:left="284"/>
        <w:jc w:val="both"/>
        <w:rPr>
          <w:rFonts w:ascii="Times New Roman" w:hAnsi="Times New Roman" w:cs="Times New Roman"/>
          <w:color w:val="00B050"/>
          <w:szCs w:val="16"/>
        </w:rPr>
      </w:pPr>
      <w:r w:rsidRPr="008E17C8">
        <w:rPr>
          <w:rFonts w:ascii="Times New Roman" w:hAnsi="Times New Roman" w:cs="Times New Roman"/>
          <w:i/>
          <w:color w:val="00B050"/>
          <w:szCs w:val="16"/>
        </w:rPr>
        <w:t>b) małe prawdopodobieństwo wywiązania się w całości przez dłużnika ze swoich zobowiązań kredytowych bez konieczności realizacji zabezpieczenia, niezależnie od istnienia przeterminowanych kwot lub liczby dni przeterminowania.</w:t>
      </w:r>
    </w:p>
    <w:p w14:paraId="2ACF52D4" w14:textId="77777777" w:rsidR="00D41C60" w:rsidRPr="008E17C8" w:rsidRDefault="00D41C60" w:rsidP="00D41C60">
      <w:pPr>
        <w:ind w:left="284"/>
        <w:jc w:val="both"/>
        <w:rPr>
          <w:rFonts w:ascii="Times New Roman" w:hAnsi="Times New Roman" w:cs="Times New Roman"/>
          <w:color w:val="00B050"/>
          <w:szCs w:val="16"/>
        </w:rPr>
      </w:pPr>
    </w:p>
    <w:p w14:paraId="6EA959DE" w14:textId="77777777" w:rsidR="00D41C60" w:rsidRPr="008E17C8" w:rsidRDefault="00D41C60" w:rsidP="00D41C60">
      <w:pPr>
        <w:jc w:val="both"/>
        <w:rPr>
          <w:rFonts w:ascii="Times New Roman" w:hAnsi="Times New Roman" w:cs="Times New Roman"/>
          <w:color w:val="00B050"/>
          <w:szCs w:val="16"/>
        </w:rPr>
      </w:pPr>
      <w:r w:rsidRPr="008E17C8">
        <w:rPr>
          <w:rFonts w:ascii="Times New Roman" w:hAnsi="Times New Roman" w:cs="Times New Roman"/>
          <w:b/>
          <w:color w:val="00B050"/>
          <w:szCs w:val="16"/>
        </w:rPr>
        <w:lastRenderedPageBreak/>
        <w:t>Ekspozycje, których dotyczy niewykonanie zobowiązania</w:t>
      </w:r>
      <w:r w:rsidRPr="008E17C8">
        <w:rPr>
          <w:rFonts w:ascii="Times New Roman" w:hAnsi="Times New Roman" w:cs="Times New Roman"/>
          <w:color w:val="00B050"/>
          <w:szCs w:val="16"/>
        </w:rPr>
        <w:t>: zob. definicja podana w Tabeli 1 („Jakość kredytowa ekspozycji restrukturyzowanych”).</w:t>
      </w:r>
    </w:p>
    <w:p w14:paraId="71E98518" w14:textId="77777777" w:rsidR="00D41C60" w:rsidRPr="008E17C8" w:rsidRDefault="00D41C60" w:rsidP="00D41C60">
      <w:pPr>
        <w:jc w:val="both"/>
        <w:rPr>
          <w:rFonts w:ascii="Times New Roman" w:hAnsi="Times New Roman" w:cs="Times New Roman"/>
          <w:color w:val="00B050"/>
          <w:szCs w:val="16"/>
        </w:rPr>
      </w:pPr>
    </w:p>
    <w:p w14:paraId="26A3D5D8" w14:textId="77777777" w:rsidR="00D41C60" w:rsidRPr="008E17C8" w:rsidRDefault="00D41C60" w:rsidP="00D41C60">
      <w:pPr>
        <w:jc w:val="both"/>
        <w:rPr>
          <w:rFonts w:ascii="Times New Roman" w:hAnsi="Times New Roman" w:cs="Times New Roman"/>
          <w:color w:val="00B050"/>
          <w:szCs w:val="16"/>
        </w:rPr>
      </w:pPr>
      <w:r w:rsidRPr="008E17C8">
        <w:rPr>
          <w:rFonts w:ascii="Times New Roman" w:hAnsi="Times New Roman" w:cs="Times New Roman"/>
          <w:b/>
          <w:color w:val="00B050"/>
          <w:szCs w:val="16"/>
        </w:rPr>
        <w:t>Nieprzeterminowane lub przeterminowane ≤ 30 dni</w:t>
      </w:r>
      <w:r w:rsidRPr="008E17C8">
        <w:rPr>
          <w:rFonts w:ascii="Times New Roman" w:hAnsi="Times New Roman" w:cs="Times New Roman"/>
          <w:color w:val="00B050"/>
          <w:szCs w:val="16"/>
        </w:rPr>
        <w:t>: podkategoria ekspozycji obsługiwanych, które nie są przeterminowane lub są przeterminowane 1–30 dni.</w:t>
      </w:r>
    </w:p>
    <w:p w14:paraId="764F7723" w14:textId="77777777" w:rsidR="00D41C60" w:rsidRPr="008E17C8" w:rsidRDefault="00D41C60" w:rsidP="00D41C60">
      <w:pPr>
        <w:jc w:val="both"/>
        <w:rPr>
          <w:rFonts w:ascii="Times New Roman" w:hAnsi="Times New Roman" w:cs="Times New Roman"/>
          <w:color w:val="00B050"/>
          <w:szCs w:val="16"/>
        </w:rPr>
      </w:pPr>
    </w:p>
    <w:p w14:paraId="619A7858" w14:textId="77777777" w:rsidR="00D41C60" w:rsidRPr="008E17C8" w:rsidRDefault="00D41C60" w:rsidP="00D41C60">
      <w:pPr>
        <w:jc w:val="both"/>
        <w:rPr>
          <w:rFonts w:ascii="Times New Roman" w:hAnsi="Times New Roman" w:cs="Times New Roman"/>
          <w:color w:val="00B050"/>
          <w:szCs w:val="16"/>
        </w:rPr>
      </w:pPr>
      <w:r w:rsidRPr="008E17C8">
        <w:rPr>
          <w:rFonts w:ascii="Times New Roman" w:hAnsi="Times New Roman" w:cs="Times New Roman"/>
          <w:b/>
          <w:color w:val="00B050"/>
          <w:szCs w:val="16"/>
        </w:rPr>
        <w:t>Przeterminowane &gt;30 dni ≤ 90 dni</w:t>
      </w:r>
      <w:r w:rsidRPr="008E17C8">
        <w:rPr>
          <w:rFonts w:ascii="Times New Roman" w:hAnsi="Times New Roman" w:cs="Times New Roman"/>
          <w:color w:val="00B050"/>
          <w:szCs w:val="16"/>
        </w:rPr>
        <w:t>: podkategoria ekspozycji obsługiwanych, które są przeterminowane 31–90 dni. W tej kategorii uwzględnia się też ekspozycje przeterminowane ponad 90 dni, które nie są istotne.</w:t>
      </w:r>
    </w:p>
    <w:p w14:paraId="7E07A0E8" w14:textId="77777777" w:rsidR="00D41C60" w:rsidRPr="008E17C8" w:rsidRDefault="00D41C60" w:rsidP="00D41C60">
      <w:pPr>
        <w:jc w:val="both"/>
        <w:rPr>
          <w:rFonts w:ascii="Times New Roman" w:hAnsi="Times New Roman" w:cs="Times New Roman"/>
          <w:color w:val="00B050"/>
          <w:szCs w:val="16"/>
        </w:rPr>
      </w:pPr>
    </w:p>
    <w:p w14:paraId="05B4D56D" w14:textId="77777777" w:rsidR="00D41C60" w:rsidRPr="008E17C8" w:rsidRDefault="00D41C60" w:rsidP="00D41C60">
      <w:pPr>
        <w:jc w:val="both"/>
        <w:rPr>
          <w:rFonts w:ascii="Times New Roman" w:hAnsi="Times New Roman" w:cs="Times New Roman"/>
          <w:color w:val="00B050"/>
          <w:szCs w:val="16"/>
        </w:rPr>
      </w:pPr>
      <w:r w:rsidRPr="008E17C8">
        <w:rPr>
          <w:rFonts w:ascii="Times New Roman" w:hAnsi="Times New Roman" w:cs="Times New Roman"/>
          <w:b/>
          <w:color w:val="00B050"/>
          <w:szCs w:val="16"/>
        </w:rPr>
        <w:t>Małe prawdopodobieństwo spłaty ekspozycji nieprzeterminowanych albo przeterminowanych ≤ 90 dni</w:t>
      </w:r>
      <w:r w:rsidRPr="008E17C8">
        <w:rPr>
          <w:rFonts w:ascii="Times New Roman" w:hAnsi="Times New Roman" w:cs="Times New Roman"/>
          <w:color w:val="00B050"/>
          <w:szCs w:val="16"/>
        </w:rPr>
        <w:t>: podkategoria ekspozycji albo nieprzeterminowanych, albo przeterminowanych do 90 dni, które mimo to są sklasyfikowane jako nieobsługiwane (zgodnie z definicją podaną powyżej).</w:t>
      </w:r>
    </w:p>
    <w:p w14:paraId="056C74DE" w14:textId="77777777" w:rsidR="00D41C60" w:rsidRPr="008E17C8" w:rsidRDefault="00D41C60" w:rsidP="00D41C60">
      <w:pPr>
        <w:jc w:val="both"/>
        <w:rPr>
          <w:rFonts w:ascii="Times New Roman" w:hAnsi="Times New Roman" w:cs="Times New Roman"/>
          <w:color w:val="00B050"/>
          <w:szCs w:val="16"/>
        </w:rPr>
      </w:pPr>
    </w:p>
    <w:p w14:paraId="2CCC19F4" w14:textId="77777777" w:rsidR="00D41C60" w:rsidRPr="008E17C8" w:rsidRDefault="00D41C60" w:rsidP="00D41C60">
      <w:pPr>
        <w:jc w:val="both"/>
        <w:rPr>
          <w:rFonts w:ascii="Times New Roman" w:hAnsi="Times New Roman" w:cs="Times New Roman"/>
          <w:color w:val="00B050"/>
          <w:szCs w:val="16"/>
        </w:rPr>
      </w:pPr>
      <w:r w:rsidRPr="008E17C8">
        <w:rPr>
          <w:rFonts w:ascii="Times New Roman" w:hAnsi="Times New Roman" w:cs="Times New Roman"/>
          <w:b/>
          <w:color w:val="00B050"/>
          <w:szCs w:val="16"/>
        </w:rPr>
        <w:t>Wiersze</w:t>
      </w:r>
      <w:r w:rsidRPr="008E17C8">
        <w:rPr>
          <w:rFonts w:ascii="Times New Roman" w:hAnsi="Times New Roman" w:cs="Times New Roman"/>
          <w:color w:val="00B050"/>
          <w:szCs w:val="16"/>
        </w:rPr>
        <w:t>:</w:t>
      </w:r>
    </w:p>
    <w:p w14:paraId="2D0C6D0C" w14:textId="77777777" w:rsidR="00D41C60" w:rsidRPr="008E17C8" w:rsidRDefault="00D41C60" w:rsidP="00D41C60">
      <w:pPr>
        <w:jc w:val="both"/>
        <w:rPr>
          <w:rFonts w:ascii="Times New Roman" w:hAnsi="Times New Roman" w:cs="Times New Roman"/>
          <w:color w:val="00B050"/>
          <w:szCs w:val="16"/>
        </w:rPr>
      </w:pPr>
    </w:p>
    <w:p w14:paraId="50C0432B" w14:textId="77777777" w:rsidR="00D41C60" w:rsidRPr="008E17C8" w:rsidRDefault="00D41C60" w:rsidP="00D41C60">
      <w:pPr>
        <w:jc w:val="both"/>
        <w:rPr>
          <w:rFonts w:ascii="Times New Roman" w:hAnsi="Times New Roman" w:cs="Times New Roman"/>
          <w:color w:val="00B050"/>
          <w:szCs w:val="16"/>
        </w:rPr>
      </w:pPr>
      <w:r w:rsidRPr="008E17C8">
        <w:rPr>
          <w:rFonts w:ascii="Times New Roman" w:hAnsi="Times New Roman" w:cs="Times New Roman"/>
          <w:b/>
          <w:color w:val="00B050"/>
          <w:szCs w:val="16"/>
        </w:rPr>
        <w:t>Podział według kontrahentów</w:t>
      </w:r>
      <w:r w:rsidRPr="008E17C8">
        <w:rPr>
          <w:rFonts w:ascii="Times New Roman" w:hAnsi="Times New Roman" w:cs="Times New Roman"/>
          <w:color w:val="00B050"/>
          <w:szCs w:val="16"/>
        </w:rPr>
        <w:t>: instytucje powinny stosować podział według kontrahentów zgodnie z definicją podaną w załączniku V część 1 pkt 42 do rozporządzenia wykonawczego Komisji (UE) nr 680/2014.</w:t>
      </w:r>
    </w:p>
    <w:p w14:paraId="7ADDB257" w14:textId="77777777" w:rsidR="00D41C60" w:rsidRPr="008E17C8" w:rsidRDefault="00D41C60" w:rsidP="00D41C60">
      <w:pPr>
        <w:ind w:left="284"/>
        <w:jc w:val="both"/>
        <w:rPr>
          <w:rFonts w:ascii="Times New Roman" w:hAnsi="Times New Roman" w:cs="Times New Roman"/>
          <w:color w:val="00B050"/>
          <w:szCs w:val="16"/>
        </w:rPr>
      </w:pPr>
    </w:p>
    <w:p w14:paraId="260FBF20"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42. W przypadku gdy wymagany jest podział według kontrahentów, stosuje się następujące sektory kontrahentów:</w:t>
      </w:r>
    </w:p>
    <w:p w14:paraId="4523EA7E"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a) banki centralne;</w:t>
      </w:r>
    </w:p>
    <w:p w14:paraId="0DE7C2A3"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b) sektor instytucji rządowych i samorządowych: rządy centralne, krajowe lub regionalne i samorządy lokalne, w tym organy administracyjne i jednostki niekomercyjne, z wyjątkiem posiadanych przez te organy administracyjne spółek publicznych i prywatnych prowadzących działalność komercyjną (które należy zgłaszać w pozycji „instytucje kredytowe”, „inne instytucje finansowe” lub „przedsiębiorstwa niefinansowe” w zależności od prowadzonej przez nie działalności); fundusze zabezpieczenia społecznego; oraz organizacje międzynarodowe, takie jak instytucje Unii Europejskiej, Międzynarodowy Fundusz Walutowy oraz Bank Rozrachunków Międzynarodowych;</w:t>
      </w:r>
    </w:p>
    <w:p w14:paraId="0F22990C"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c) instytucje kredytowe: instytucje objęte definicją określoną w art. 4 ust. 1 pkt 1 CRR („przedsiębiorstwo, którego działalność polega na przyjmowaniu depozytów pieniężnych lub innych funduszy podlegających zwrotowi od klientów oraz na udzielaniu kredytów na swój własny rachunek”) i wielostronne banki rozwoju;</w:t>
      </w:r>
    </w:p>
    <w:p w14:paraId="3D560CD1"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d) inne instytucje finansowe: wszystkie instytucje finansowe i jednostki typu przedsiębiorstwo inne niż instytucje kredytowe, takie jak firmy inwestycyjne, fundusze inwestycyjne, zakłady ubezpieczeń, fundusze emerytalne, przedsiębiorstwa zbiorowego inwestowania oraz izby rozliczeniowe, jak również pozostali pośrednicy finansowi, pomocnicze instytucje finansowe i instytucje finansowe typu „</w:t>
      </w:r>
      <w:proofErr w:type="spellStart"/>
      <w:r w:rsidRPr="008E17C8">
        <w:rPr>
          <w:rFonts w:ascii="Times New Roman" w:hAnsi="Times New Roman" w:cs="Times New Roman"/>
          <w:i/>
          <w:color w:val="00B050"/>
          <w:szCs w:val="16"/>
        </w:rPr>
        <w:t>captive</w:t>
      </w:r>
      <w:proofErr w:type="spellEnd"/>
      <w:r w:rsidRPr="008E17C8">
        <w:rPr>
          <w:rFonts w:ascii="Times New Roman" w:hAnsi="Times New Roman" w:cs="Times New Roman"/>
          <w:i/>
          <w:color w:val="00B050"/>
          <w:szCs w:val="16"/>
        </w:rPr>
        <w:t>” oraz instytucje udzielające pożyczek;</w:t>
      </w:r>
    </w:p>
    <w:p w14:paraId="29369541"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lastRenderedPageBreak/>
        <w:t>e) przedsiębiorstwa niefinansowe: przedsiębiorstwa i jednostki typu przedsiębiorstwo niezaangażowane w pośrednictwo finansowe, których podstawową działalnością jest produkcja wyrobów rynkowych i usług niefinansowych zgodnie z rozporządzeniem EBC w sprawie pozycji bilansowych;</w:t>
      </w:r>
    </w:p>
    <w:p w14:paraId="2E08A499"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f) gospodarstwa domowe: osoby fizyczne lub grupy osób fizycznych będące konsumentami lub będące producentami wyrobów i usług niefinansowych wyłącznie na użytek własny lub będące producentami wyrobów rynkowych oraz usług niefinansowych i finansowych, pod warunkiem że ich działalność nie jest tożsama z działalnością jednostek typu przedsiębiorstwo. Do tej kategorii zalicza się instytucje niekomercyjne obsługujące gospodarstwa domowe i zajmujące się głównie wytwarzaniem towarów i usług nierynkowych przeznaczonych dla konkretnych grup gospodarstw domowych.</w:t>
      </w:r>
    </w:p>
    <w:p w14:paraId="1C9F4E16" w14:textId="77777777" w:rsidR="00D41C60" w:rsidRPr="008E17C8" w:rsidRDefault="00D41C60" w:rsidP="00D41C60">
      <w:pPr>
        <w:jc w:val="both"/>
        <w:rPr>
          <w:rFonts w:ascii="Times New Roman" w:hAnsi="Times New Roman" w:cs="Times New Roman"/>
          <w:color w:val="00B050"/>
          <w:szCs w:val="16"/>
        </w:rPr>
      </w:pPr>
    </w:p>
    <w:p w14:paraId="268366EE" w14:textId="77777777" w:rsidR="00D41C60" w:rsidRPr="008E17C8" w:rsidRDefault="00D41C60" w:rsidP="00D41C60">
      <w:pPr>
        <w:jc w:val="both"/>
        <w:rPr>
          <w:rFonts w:ascii="Times New Roman" w:hAnsi="Times New Roman" w:cs="Times New Roman"/>
          <w:color w:val="00B050"/>
          <w:szCs w:val="16"/>
        </w:rPr>
      </w:pPr>
      <w:r w:rsidRPr="008E17C8">
        <w:rPr>
          <w:rFonts w:ascii="Times New Roman" w:hAnsi="Times New Roman" w:cs="Times New Roman"/>
          <w:color w:val="00B050"/>
          <w:szCs w:val="16"/>
        </w:rPr>
        <w:t>Podstawą przypisania sektora kontrahentowi powinien być wyłącznie charakter kontrahenta bezpośredniego. Klasyfikacji ekspozycji ponoszonych wspólnie przez więcej niż jednego dłużnika należy dokonywać na podstawie charakterystyki dłużnika, który miał większe lub decydujące znaczenie, gdy instytucja decydowała o udzieleniu ekspozycji. Spośród innych klasyfikacji podział wspólnie utworzonych ekspozycji według sektora kontrahentów, kraju siedziby i kodów NACE powinien opierać się na cechach tego dłużnika, który ma większe lub decydujące znaczenie.</w:t>
      </w:r>
    </w:p>
    <w:p w14:paraId="1A107023" w14:textId="77777777" w:rsidR="00D41C60" w:rsidRPr="008E17C8" w:rsidRDefault="00D41C60" w:rsidP="00D41C60">
      <w:pPr>
        <w:jc w:val="both"/>
        <w:rPr>
          <w:rFonts w:ascii="Times New Roman" w:hAnsi="Times New Roman" w:cs="Times New Roman"/>
          <w:color w:val="00B050"/>
          <w:szCs w:val="16"/>
        </w:rPr>
      </w:pPr>
    </w:p>
    <w:p w14:paraId="03AAA09F" w14:textId="77777777" w:rsidR="00D41C60" w:rsidRPr="008E17C8" w:rsidRDefault="00D41C60" w:rsidP="00D41C60">
      <w:pPr>
        <w:jc w:val="both"/>
        <w:rPr>
          <w:rFonts w:ascii="Times New Roman" w:hAnsi="Times New Roman" w:cs="Times New Roman"/>
          <w:color w:val="00B050"/>
          <w:szCs w:val="16"/>
        </w:rPr>
      </w:pPr>
      <w:r w:rsidRPr="008E17C8">
        <w:rPr>
          <w:rFonts w:ascii="Times New Roman" w:hAnsi="Times New Roman" w:cs="Times New Roman"/>
          <w:b/>
          <w:color w:val="00B050"/>
          <w:szCs w:val="16"/>
        </w:rPr>
        <w:t>MŚP</w:t>
      </w:r>
      <w:r w:rsidRPr="008E17C8">
        <w:rPr>
          <w:rFonts w:ascii="Times New Roman" w:hAnsi="Times New Roman" w:cs="Times New Roman"/>
          <w:color w:val="00B050"/>
          <w:szCs w:val="16"/>
        </w:rPr>
        <w:t>: zgodnie z definicją podaną w załączniku V część 1 pkt 5 lit i) do rozporządzenia wykonawczego Komisji (UE) nr 680/2014.</w:t>
      </w:r>
    </w:p>
    <w:p w14:paraId="43E0A630" w14:textId="77777777" w:rsidR="00D41C60" w:rsidRPr="008E17C8" w:rsidRDefault="00D41C60" w:rsidP="00D41C60">
      <w:pPr>
        <w:ind w:left="284"/>
        <w:jc w:val="both"/>
        <w:rPr>
          <w:rFonts w:ascii="Times New Roman" w:hAnsi="Times New Roman" w:cs="Times New Roman"/>
          <w:color w:val="00B050"/>
          <w:szCs w:val="16"/>
        </w:rPr>
      </w:pPr>
    </w:p>
    <w:p w14:paraId="1C5462A5"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i) „MŚP”: mikroprzedsiębiorstwa oraz małe i średnie przedsiębiorstwa zdefiniowane w zaleceniu Komisji C(2003)1422 ( 3 ) tj.</w:t>
      </w:r>
    </w:p>
    <w:p w14:paraId="6C591A4C"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 xml:space="preserve">1. Na kategorię przedsiębiorstw mikro, małych i średnich (MŚP) składają się przedsiębiorstwa, które zatrudniają mniej niż 250 osób, i których obroty roczne nie przekraczają 50 mln EUR, i/lub których roczna suma bilansowa nie przekracza 43 mln EUR. </w:t>
      </w:r>
    </w:p>
    <w:p w14:paraId="3152C4F4"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t xml:space="preserve"> 2. W kategorii MŚP, małe przedsiębiorstwo jest zdefiniowane jako przedsiębiorstwo zatrudniające mniej niż 50 osób, i którego obroty roczne i/lub roczna suma bilansowa nie przekracza 10 mln EUR. </w:t>
      </w:r>
    </w:p>
    <w:p w14:paraId="4F5A9B7B" w14:textId="77777777" w:rsidR="00D41C60" w:rsidRPr="008E17C8" w:rsidRDefault="00D41C60" w:rsidP="00D41C60">
      <w:pPr>
        <w:ind w:left="284"/>
        <w:jc w:val="both"/>
        <w:rPr>
          <w:rFonts w:ascii="Times New Roman" w:hAnsi="Times New Roman" w:cs="Times New Roman"/>
          <w:color w:val="00B050"/>
          <w:szCs w:val="16"/>
        </w:rPr>
      </w:pPr>
      <w:r w:rsidRPr="008E17C8">
        <w:rPr>
          <w:rFonts w:ascii="Times New Roman" w:hAnsi="Times New Roman" w:cs="Times New Roman"/>
          <w:i/>
          <w:color w:val="00B050"/>
          <w:szCs w:val="16"/>
        </w:rPr>
        <w:t xml:space="preserve"> 3. W kategorii MŚP, przedsiębiorstwo mikro jest zdefiniowane jako przedsiębiorstwo zatrudniające mniej niż 10 osób, i którego obroty roczne i/lub roczna suma bilansowa nie przekracza 2 mln EUR</w:t>
      </w:r>
      <w:r w:rsidRPr="008E17C8">
        <w:rPr>
          <w:rFonts w:ascii="Times New Roman" w:hAnsi="Times New Roman" w:cs="Times New Roman"/>
          <w:color w:val="00B050"/>
          <w:szCs w:val="16"/>
        </w:rPr>
        <w:t>.</w:t>
      </w:r>
    </w:p>
    <w:p w14:paraId="620BAB87" w14:textId="77777777" w:rsidR="00D41C60" w:rsidRPr="008E17C8" w:rsidRDefault="00D41C60" w:rsidP="00D41C60">
      <w:pPr>
        <w:spacing w:after="200" w:line="276" w:lineRule="auto"/>
        <w:rPr>
          <w:rFonts w:ascii="Times New Roman" w:hAnsi="Times New Roman" w:cs="Times New Roman"/>
          <w:szCs w:val="16"/>
        </w:rPr>
      </w:pPr>
      <w:r w:rsidRPr="008E17C8">
        <w:rPr>
          <w:rFonts w:ascii="Times New Roman" w:hAnsi="Times New Roman" w:cs="Times New Roman"/>
          <w:color w:val="00B050"/>
          <w:szCs w:val="16"/>
        </w:rPr>
        <w:br w:type="page"/>
      </w:r>
    </w:p>
    <w:p w14:paraId="74C03ED2" w14:textId="77777777" w:rsidR="00D41C60" w:rsidRPr="008E17C8" w:rsidRDefault="00D41C60" w:rsidP="00D41C60">
      <w:pPr>
        <w:spacing w:line="276" w:lineRule="auto"/>
        <w:ind w:left="284"/>
        <w:jc w:val="both"/>
        <w:rPr>
          <w:rFonts w:ascii="Times New Roman" w:hAnsi="Times New Roman" w:cs="Times New Roman"/>
          <w:szCs w:val="16"/>
        </w:rPr>
      </w:pPr>
    </w:p>
    <w:p w14:paraId="0E36E3E5" w14:textId="77777777" w:rsidR="00D41C60" w:rsidRPr="008E17C8" w:rsidRDefault="00D41C60" w:rsidP="00D41C60">
      <w:pPr>
        <w:jc w:val="both"/>
        <w:rPr>
          <w:rFonts w:ascii="Times New Roman" w:hAnsi="Times New Roman" w:cs="Times New Roman"/>
          <w:b/>
          <w:szCs w:val="16"/>
          <w:u w:val="single"/>
        </w:rPr>
      </w:pPr>
      <w:r w:rsidRPr="008E17C8">
        <w:rPr>
          <w:rFonts w:ascii="Times New Roman" w:hAnsi="Times New Roman" w:cs="Times New Roman"/>
          <w:b/>
          <w:szCs w:val="16"/>
          <w:u w:val="single"/>
        </w:rPr>
        <w:t>Tabela 3: Ekspozycje obsługiwane i nieobsługiwane oraz związane z nimi rezerwy</w:t>
      </w:r>
    </w:p>
    <w:p w14:paraId="6AD1875B" w14:textId="77777777" w:rsidR="00D41C60" w:rsidRPr="008E17C8" w:rsidRDefault="00D41C60" w:rsidP="00D41C60">
      <w:pPr>
        <w:jc w:val="both"/>
        <w:rPr>
          <w:rFonts w:ascii="Times New Roman" w:hAnsi="Times New Roman" w:cs="Times New Roman"/>
          <w:szCs w:val="16"/>
        </w:rPr>
      </w:pPr>
    </w:p>
    <w:p w14:paraId="03428C9F" w14:textId="77777777" w:rsidR="00D41C60" w:rsidRPr="008E17C8" w:rsidRDefault="00D41C60" w:rsidP="00D41C60">
      <w:pPr>
        <w:jc w:val="both"/>
        <w:rPr>
          <w:rFonts w:ascii="Times New Roman" w:hAnsi="Times New Roman" w:cs="Times New Roman"/>
          <w:szCs w:val="16"/>
        </w:rPr>
      </w:pPr>
      <w:r w:rsidRPr="008E17C8">
        <w:rPr>
          <w:rFonts w:ascii="Times New Roman" w:hAnsi="Times New Roman" w:cs="Times New Roman"/>
          <w:b/>
          <w:szCs w:val="16"/>
        </w:rPr>
        <w:t>Częstotliwość raportowania</w:t>
      </w:r>
      <w:r w:rsidRPr="008E17C8">
        <w:rPr>
          <w:rFonts w:ascii="Times New Roman" w:hAnsi="Times New Roman" w:cs="Times New Roman"/>
          <w:szCs w:val="16"/>
        </w:rPr>
        <w:t>: raz w roku</w:t>
      </w:r>
    </w:p>
    <w:p w14:paraId="2B196C3B" w14:textId="77777777" w:rsidR="00D41C60" w:rsidRPr="008E17C8" w:rsidRDefault="00D41C60" w:rsidP="00D41C60">
      <w:pPr>
        <w:jc w:val="both"/>
        <w:rPr>
          <w:rFonts w:ascii="Times New Roman" w:hAnsi="Times New Roman" w:cs="Times New Roman"/>
          <w:szCs w:val="16"/>
        </w:rPr>
      </w:pPr>
    </w:p>
    <w:tbl>
      <w:tblPr>
        <w:tblW w:w="14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0"/>
        <w:gridCol w:w="1278"/>
        <w:gridCol w:w="426"/>
        <w:gridCol w:w="707"/>
        <w:gridCol w:w="708"/>
        <w:gridCol w:w="284"/>
        <w:gridCol w:w="707"/>
        <w:gridCol w:w="826"/>
        <w:gridCol w:w="236"/>
        <w:gridCol w:w="1083"/>
        <w:gridCol w:w="1132"/>
        <w:gridCol w:w="425"/>
        <w:gridCol w:w="991"/>
        <w:gridCol w:w="1274"/>
        <w:gridCol w:w="1132"/>
        <w:gridCol w:w="1415"/>
        <w:gridCol w:w="1590"/>
      </w:tblGrid>
      <w:tr w:rsidR="00B06E6D" w:rsidRPr="008E17C8" w14:paraId="1E206F76" w14:textId="77777777" w:rsidTr="00B06E6D">
        <w:tc>
          <w:tcPr>
            <w:tcW w:w="421" w:type="dxa"/>
            <w:vMerge w:val="restart"/>
          </w:tcPr>
          <w:p w14:paraId="0959DD52" w14:textId="77777777" w:rsidR="00D41C60" w:rsidRPr="008E17C8" w:rsidRDefault="00D41C60" w:rsidP="00B06E6D">
            <w:pPr>
              <w:jc w:val="both"/>
              <w:rPr>
                <w:rFonts w:ascii="Times New Roman" w:hAnsi="Times New Roman" w:cs="Times New Roman"/>
                <w:sz w:val="20"/>
                <w:szCs w:val="20"/>
              </w:rPr>
            </w:pPr>
          </w:p>
        </w:tc>
        <w:tc>
          <w:tcPr>
            <w:tcW w:w="1280" w:type="dxa"/>
            <w:vMerge w:val="restart"/>
          </w:tcPr>
          <w:p w14:paraId="578C3AA6" w14:textId="77777777" w:rsidR="00D41C60" w:rsidRPr="008E17C8" w:rsidRDefault="00D41C60" w:rsidP="00B06E6D">
            <w:pPr>
              <w:jc w:val="both"/>
              <w:rPr>
                <w:rFonts w:ascii="Times New Roman" w:hAnsi="Times New Roman" w:cs="Times New Roman"/>
                <w:sz w:val="20"/>
                <w:szCs w:val="20"/>
              </w:rPr>
            </w:pPr>
          </w:p>
        </w:tc>
        <w:tc>
          <w:tcPr>
            <w:tcW w:w="3662" w:type="dxa"/>
            <w:gridSpan w:val="6"/>
          </w:tcPr>
          <w:p w14:paraId="39B2E46C" w14:textId="77777777" w:rsidR="00D41C60" w:rsidRPr="008E17C8" w:rsidRDefault="00D41C60" w:rsidP="00B06E6D">
            <w:pPr>
              <w:jc w:val="both"/>
              <w:rPr>
                <w:rFonts w:ascii="Times New Roman" w:hAnsi="Times New Roman" w:cs="Times New Roman"/>
                <w:sz w:val="18"/>
                <w:szCs w:val="20"/>
              </w:rPr>
            </w:pPr>
            <w:r w:rsidRPr="008E17C8">
              <w:rPr>
                <w:rFonts w:ascii="Times New Roman" w:hAnsi="Times New Roman" w:cs="Times New Roman"/>
                <w:sz w:val="18"/>
                <w:szCs w:val="20"/>
              </w:rPr>
              <w:t>Wartość bilansowa brutto/kwota nominalna</w:t>
            </w:r>
          </w:p>
        </w:tc>
        <w:tc>
          <w:tcPr>
            <w:tcW w:w="5127" w:type="dxa"/>
            <w:gridSpan w:val="6"/>
          </w:tcPr>
          <w:p w14:paraId="1EF1CF37" w14:textId="77777777" w:rsidR="00D41C60" w:rsidRPr="008E17C8" w:rsidRDefault="00D41C60" w:rsidP="00B06E6D">
            <w:pPr>
              <w:jc w:val="both"/>
              <w:rPr>
                <w:rFonts w:ascii="Times New Roman" w:hAnsi="Times New Roman" w:cs="Times New Roman"/>
                <w:sz w:val="18"/>
                <w:szCs w:val="20"/>
              </w:rPr>
            </w:pPr>
            <w:r w:rsidRPr="008E17C8">
              <w:rPr>
                <w:rFonts w:ascii="Times New Roman" w:hAnsi="Times New Roman" w:cs="Times New Roman"/>
                <w:sz w:val="18"/>
                <w:szCs w:val="20"/>
              </w:rPr>
              <w:t>Skumulowana utrata wartości, skumulowane ujemne zmiany wartości godziwej z tytułu ryzyka kredytowego i rezerw</w:t>
            </w:r>
          </w:p>
        </w:tc>
        <w:tc>
          <w:tcPr>
            <w:tcW w:w="1134" w:type="dxa"/>
            <w:vMerge w:val="restart"/>
            <w:vAlign w:val="center"/>
          </w:tcPr>
          <w:p w14:paraId="3DA72B80" w14:textId="77777777" w:rsidR="00D41C60" w:rsidRPr="008E17C8" w:rsidRDefault="00D41C60" w:rsidP="00B06E6D">
            <w:pPr>
              <w:jc w:val="center"/>
              <w:rPr>
                <w:rFonts w:ascii="Times New Roman" w:hAnsi="Times New Roman" w:cs="Times New Roman"/>
                <w:sz w:val="18"/>
                <w:szCs w:val="20"/>
              </w:rPr>
            </w:pPr>
            <w:r w:rsidRPr="008E17C8">
              <w:rPr>
                <w:rFonts w:ascii="Times New Roman" w:hAnsi="Times New Roman" w:cs="Times New Roman"/>
                <w:sz w:val="18"/>
                <w:szCs w:val="20"/>
              </w:rPr>
              <w:t>Skumulowane odpisania częściowe</w:t>
            </w:r>
          </w:p>
        </w:tc>
        <w:tc>
          <w:tcPr>
            <w:tcW w:w="3010" w:type="dxa"/>
            <w:gridSpan w:val="2"/>
          </w:tcPr>
          <w:p w14:paraId="513CA205" w14:textId="77777777" w:rsidR="00D41C60" w:rsidRPr="008E17C8" w:rsidRDefault="00D41C60" w:rsidP="00B06E6D">
            <w:pPr>
              <w:jc w:val="both"/>
              <w:rPr>
                <w:rFonts w:ascii="Times New Roman" w:hAnsi="Times New Roman" w:cs="Times New Roman"/>
                <w:sz w:val="18"/>
                <w:szCs w:val="20"/>
              </w:rPr>
            </w:pPr>
            <w:r w:rsidRPr="008E17C8">
              <w:rPr>
                <w:rFonts w:ascii="Times New Roman" w:hAnsi="Times New Roman" w:cs="Times New Roman"/>
                <w:sz w:val="18"/>
                <w:szCs w:val="20"/>
              </w:rPr>
              <w:t>Otrzymane zabezpieczenie i gwarancje finansowe</w:t>
            </w:r>
          </w:p>
        </w:tc>
      </w:tr>
      <w:tr w:rsidR="00B06E6D" w:rsidRPr="008E17C8" w14:paraId="363FBA8D" w14:textId="77777777" w:rsidTr="00B06E6D">
        <w:tc>
          <w:tcPr>
            <w:tcW w:w="421" w:type="dxa"/>
            <w:vMerge/>
          </w:tcPr>
          <w:p w14:paraId="5D60CCF2" w14:textId="77777777" w:rsidR="00D41C60" w:rsidRPr="008E17C8" w:rsidRDefault="00D41C60" w:rsidP="00B06E6D">
            <w:pPr>
              <w:jc w:val="both"/>
              <w:rPr>
                <w:rFonts w:ascii="Times New Roman" w:hAnsi="Times New Roman" w:cs="Times New Roman"/>
                <w:sz w:val="20"/>
                <w:szCs w:val="20"/>
              </w:rPr>
            </w:pPr>
          </w:p>
        </w:tc>
        <w:tc>
          <w:tcPr>
            <w:tcW w:w="1280" w:type="dxa"/>
            <w:vMerge/>
          </w:tcPr>
          <w:p w14:paraId="65A339E7" w14:textId="77777777" w:rsidR="00D41C60" w:rsidRPr="008E17C8" w:rsidRDefault="00D41C60" w:rsidP="00B06E6D">
            <w:pPr>
              <w:jc w:val="both"/>
              <w:rPr>
                <w:rFonts w:ascii="Times New Roman" w:hAnsi="Times New Roman" w:cs="Times New Roman"/>
                <w:sz w:val="20"/>
                <w:szCs w:val="20"/>
              </w:rPr>
            </w:pPr>
          </w:p>
        </w:tc>
        <w:tc>
          <w:tcPr>
            <w:tcW w:w="1843" w:type="dxa"/>
            <w:gridSpan w:val="3"/>
          </w:tcPr>
          <w:p w14:paraId="41F13287" w14:textId="77777777" w:rsidR="00D41C60" w:rsidRPr="008E17C8" w:rsidRDefault="00D41C60" w:rsidP="00B06E6D">
            <w:pPr>
              <w:jc w:val="both"/>
              <w:rPr>
                <w:rFonts w:ascii="Times New Roman" w:hAnsi="Times New Roman" w:cs="Times New Roman"/>
                <w:sz w:val="18"/>
                <w:szCs w:val="20"/>
              </w:rPr>
            </w:pPr>
            <w:r w:rsidRPr="008E17C8">
              <w:rPr>
                <w:rFonts w:ascii="Times New Roman" w:hAnsi="Times New Roman" w:cs="Times New Roman"/>
                <w:sz w:val="18"/>
                <w:szCs w:val="20"/>
              </w:rPr>
              <w:t>Ekspozycje obsługiwane</w:t>
            </w:r>
          </w:p>
        </w:tc>
        <w:tc>
          <w:tcPr>
            <w:tcW w:w="1808" w:type="dxa"/>
            <w:gridSpan w:val="3"/>
          </w:tcPr>
          <w:p w14:paraId="5D2C3630" w14:textId="77777777" w:rsidR="00D41C60" w:rsidRPr="008E17C8" w:rsidRDefault="00D41C60" w:rsidP="00B06E6D">
            <w:pPr>
              <w:jc w:val="both"/>
              <w:rPr>
                <w:rFonts w:ascii="Times New Roman" w:hAnsi="Times New Roman" w:cs="Times New Roman"/>
                <w:sz w:val="18"/>
                <w:szCs w:val="20"/>
              </w:rPr>
            </w:pPr>
            <w:r w:rsidRPr="008E17C8">
              <w:rPr>
                <w:rFonts w:ascii="Times New Roman" w:hAnsi="Times New Roman" w:cs="Times New Roman"/>
                <w:sz w:val="18"/>
                <w:szCs w:val="20"/>
              </w:rPr>
              <w:t>Ekspozycje nieobsługiwane</w:t>
            </w:r>
          </w:p>
        </w:tc>
        <w:tc>
          <w:tcPr>
            <w:tcW w:w="2445" w:type="dxa"/>
            <w:gridSpan w:val="3"/>
          </w:tcPr>
          <w:p w14:paraId="0427C4C7" w14:textId="77777777" w:rsidR="00D41C60" w:rsidRPr="008E17C8" w:rsidRDefault="00D41C60" w:rsidP="00B06E6D">
            <w:pPr>
              <w:jc w:val="both"/>
              <w:rPr>
                <w:rFonts w:ascii="Times New Roman" w:hAnsi="Times New Roman" w:cs="Times New Roman"/>
                <w:sz w:val="18"/>
                <w:szCs w:val="20"/>
              </w:rPr>
            </w:pPr>
            <w:r w:rsidRPr="008E17C8">
              <w:rPr>
                <w:rFonts w:ascii="Times New Roman" w:hAnsi="Times New Roman" w:cs="Times New Roman"/>
                <w:sz w:val="18"/>
                <w:szCs w:val="20"/>
              </w:rPr>
              <w:t>Ekspozycje obsługiwane – skumulowana utrata wartości i rezerwy</w:t>
            </w:r>
          </w:p>
        </w:tc>
        <w:tc>
          <w:tcPr>
            <w:tcW w:w="2693" w:type="dxa"/>
            <w:gridSpan w:val="3"/>
          </w:tcPr>
          <w:p w14:paraId="04B4CB02" w14:textId="77777777" w:rsidR="00D41C60" w:rsidRPr="008E17C8" w:rsidRDefault="00D41C60" w:rsidP="00B06E6D">
            <w:pPr>
              <w:jc w:val="both"/>
              <w:rPr>
                <w:rFonts w:ascii="Times New Roman" w:hAnsi="Times New Roman" w:cs="Times New Roman"/>
                <w:sz w:val="18"/>
                <w:szCs w:val="20"/>
              </w:rPr>
            </w:pPr>
            <w:r w:rsidRPr="008E17C8">
              <w:rPr>
                <w:rFonts w:ascii="Times New Roman" w:hAnsi="Times New Roman" w:cs="Times New Roman"/>
                <w:sz w:val="18"/>
                <w:szCs w:val="20"/>
              </w:rPr>
              <w:t>Ekspozycje nieobsługiwane – skumulowana utrata wartości, skumulowane ujemne zmiany wartości godziwej z powodu ryzyka kredytowego i rezerw</w:t>
            </w:r>
          </w:p>
        </w:tc>
        <w:tc>
          <w:tcPr>
            <w:tcW w:w="1134" w:type="dxa"/>
            <w:vMerge/>
          </w:tcPr>
          <w:p w14:paraId="26DCAE7F" w14:textId="77777777" w:rsidR="00D41C60" w:rsidRPr="008E17C8" w:rsidRDefault="00D41C60" w:rsidP="00B06E6D">
            <w:pPr>
              <w:jc w:val="both"/>
              <w:rPr>
                <w:rFonts w:ascii="Times New Roman" w:hAnsi="Times New Roman" w:cs="Times New Roman"/>
                <w:sz w:val="18"/>
                <w:szCs w:val="20"/>
              </w:rPr>
            </w:pPr>
          </w:p>
        </w:tc>
        <w:tc>
          <w:tcPr>
            <w:tcW w:w="1417" w:type="dxa"/>
          </w:tcPr>
          <w:p w14:paraId="7B1EFC66" w14:textId="77777777" w:rsidR="00D41C60" w:rsidRPr="008E17C8" w:rsidRDefault="00D41C60" w:rsidP="00D41C60">
            <w:pPr>
              <w:rPr>
                <w:rFonts w:ascii="Times New Roman" w:hAnsi="Times New Roman" w:cs="Times New Roman"/>
                <w:sz w:val="18"/>
                <w:szCs w:val="20"/>
              </w:rPr>
            </w:pPr>
            <w:r w:rsidRPr="008E17C8">
              <w:rPr>
                <w:rFonts w:ascii="Times New Roman" w:hAnsi="Times New Roman" w:cs="Times New Roman"/>
                <w:sz w:val="18"/>
                <w:szCs w:val="20"/>
              </w:rPr>
              <w:t>Z tytułu ekspozycji obsługiwanych</w:t>
            </w:r>
          </w:p>
        </w:tc>
        <w:tc>
          <w:tcPr>
            <w:tcW w:w="1593" w:type="dxa"/>
          </w:tcPr>
          <w:p w14:paraId="6EC5D315" w14:textId="77777777" w:rsidR="00D41C60" w:rsidRPr="008E17C8" w:rsidRDefault="00D41C60" w:rsidP="00D41C60">
            <w:pPr>
              <w:rPr>
                <w:rFonts w:ascii="Times New Roman" w:hAnsi="Times New Roman" w:cs="Times New Roman"/>
                <w:sz w:val="18"/>
                <w:szCs w:val="20"/>
              </w:rPr>
            </w:pPr>
            <w:r w:rsidRPr="008E17C8">
              <w:rPr>
                <w:rFonts w:ascii="Times New Roman" w:hAnsi="Times New Roman" w:cs="Times New Roman"/>
                <w:sz w:val="18"/>
                <w:szCs w:val="20"/>
              </w:rPr>
              <w:t>Z tytułu ekspozycji nieobsługiwanych</w:t>
            </w:r>
          </w:p>
        </w:tc>
      </w:tr>
      <w:tr w:rsidR="00B06E6D" w:rsidRPr="008E17C8" w14:paraId="1577BCC4" w14:textId="77777777" w:rsidTr="00B06E6D">
        <w:tc>
          <w:tcPr>
            <w:tcW w:w="421" w:type="dxa"/>
            <w:vMerge/>
          </w:tcPr>
          <w:p w14:paraId="45E478AE" w14:textId="77777777" w:rsidR="00D41C60" w:rsidRPr="008E17C8" w:rsidRDefault="00D41C60" w:rsidP="00B06E6D">
            <w:pPr>
              <w:jc w:val="both"/>
              <w:rPr>
                <w:rFonts w:ascii="Times New Roman" w:hAnsi="Times New Roman" w:cs="Times New Roman"/>
                <w:sz w:val="20"/>
                <w:szCs w:val="20"/>
              </w:rPr>
            </w:pPr>
          </w:p>
        </w:tc>
        <w:tc>
          <w:tcPr>
            <w:tcW w:w="1280" w:type="dxa"/>
            <w:vMerge/>
          </w:tcPr>
          <w:p w14:paraId="68F693A9" w14:textId="77777777" w:rsidR="00D41C60" w:rsidRPr="008E17C8" w:rsidRDefault="00D41C60" w:rsidP="00B06E6D">
            <w:pPr>
              <w:jc w:val="both"/>
              <w:rPr>
                <w:rFonts w:ascii="Times New Roman" w:hAnsi="Times New Roman" w:cs="Times New Roman"/>
                <w:sz w:val="20"/>
                <w:szCs w:val="20"/>
              </w:rPr>
            </w:pPr>
          </w:p>
        </w:tc>
        <w:tc>
          <w:tcPr>
            <w:tcW w:w="426" w:type="dxa"/>
          </w:tcPr>
          <w:p w14:paraId="568B9C2D" w14:textId="77777777" w:rsidR="00D41C60" w:rsidRPr="008E17C8" w:rsidRDefault="00D41C60" w:rsidP="00B06E6D">
            <w:pPr>
              <w:jc w:val="both"/>
              <w:rPr>
                <w:rFonts w:ascii="Times New Roman" w:hAnsi="Times New Roman" w:cs="Times New Roman"/>
                <w:sz w:val="18"/>
                <w:szCs w:val="20"/>
              </w:rPr>
            </w:pPr>
          </w:p>
        </w:tc>
        <w:tc>
          <w:tcPr>
            <w:tcW w:w="708" w:type="dxa"/>
          </w:tcPr>
          <w:p w14:paraId="44F345C3" w14:textId="77777777" w:rsidR="00D41C60" w:rsidRPr="008E17C8" w:rsidRDefault="00D41C60" w:rsidP="00B06E6D">
            <w:pPr>
              <w:jc w:val="both"/>
              <w:rPr>
                <w:rFonts w:ascii="Times New Roman" w:hAnsi="Times New Roman" w:cs="Times New Roman"/>
                <w:sz w:val="18"/>
                <w:szCs w:val="20"/>
              </w:rPr>
            </w:pPr>
            <w:r w:rsidRPr="008E17C8">
              <w:rPr>
                <w:rFonts w:ascii="Times New Roman" w:hAnsi="Times New Roman" w:cs="Times New Roman"/>
                <w:sz w:val="18"/>
                <w:szCs w:val="20"/>
              </w:rPr>
              <w:t>W tym etap 1</w:t>
            </w:r>
          </w:p>
        </w:tc>
        <w:tc>
          <w:tcPr>
            <w:tcW w:w="709" w:type="dxa"/>
          </w:tcPr>
          <w:p w14:paraId="43C81465" w14:textId="77777777" w:rsidR="00D41C60" w:rsidRPr="008E17C8" w:rsidRDefault="00D41C60" w:rsidP="00B06E6D">
            <w:pPr>
              <w:jc w:val="both"/>
              <w:rPr>
                <w:rFonts w:ascii="Times New Roman" w:hAnsi="Times New Roman" w:cs="Times New Roman"/>
                <w:sz w:val="18"/>
                <w:szCs w:val="20"/>
              </w:rPr>
            </w:pPr>
            <w:r w:rsidRPr="008E17C8">
              <w:rPr>
                <w:rFonts w:ascii="Times New Roman" w:hAnsi="Times New Roman" w:cs="Times New Roman"/>
                <w:sz w:val="18"/>
                <w:szCs w:val="20"/>
              </w:rPr>
              <w:t>W tym etap 2</w:t>
            </w:r>
          </w:p>
        </w:tc>
        <w:tc>
          <w:tcPr>
            <w:tcW w:w="284" w:type="dxa"/>
          </w:tcPr>
          <w:p w14:paraId="6DC33643" w14:textId="77777777" w:rsidR="00D41C60" w:rsidRPr="008E17C8" w:rsidRDefault="00D41C60" w:rsidP="00B06E6D">
            <w:pPr>
              <w:jc w:val="both"/>
              <w:rPr>
                <w:rFonts w:ascii="Times New Roman" w:hAnsi="Times New Roman" w:cs="Times New Roman"/>
                <w:sz w:val="18"/>
                <w:szCs w:val="20"/>
              </w:rPr>
            </w:pPr>
          </w:p>
        </w:tc>
        <w:tc>
          <w:tcPr>
            <w:tcW w:w="708" w:type="dxa"/>
          </w:tcPr>
          <w:p w14:paraId="7505A4CB" w14:textId="77777777" w:rsidR="00D41C60" w:rsidRPr="008E17C8" w:rsidRDefault="00D41C60" w:rsidP="00B06E6D">
            <w:pPr>
              <w:jc w:val="both"/>
              <w:rPr>
                <w:rFonts w:ascii="Times New Roman" w:hAnsi="Times New Roman" w:cs="Times New Roman"/>
                <w:sz w:val="18"/>
                <w:szCs w:val="20"/>
              </w:rPr>
            </w:pPr>
            <w:r w:rsidRPr="008E17C8">
              <w:rPr>
                <w:rFonts w:ascii="Times New Roman" w:hAnsi="Times New Roman" w:cs="Times New Roman"/>
                <w:sz w:val="18"/>
                <w:szCs w:val="20"/>
              </w:rPr>
              <w:t>W tym etap 2</w:t>
            </w:r>
          </w:p>
        </w:tc>
        <w:tc>
          <w:tcPr>
            <w:tcW w:w="806" w:type="dxa"/>
          </w:tcPr>
          <w:p w14:paraId="748FF4B5" w14:textId="77777777" w:rsidR="00D41C60" w:rsidRPr="008E17C8" w:rsidRDefault="00D41C60" w:rsidP="00B06E6D">
            <w:pPr>
              <w:jc w:val="both"/>
              <w:rPr>
                <w:rFonts w:ascii="Times New Roman" w:hAnsi="Times New Roman" w:cs="Times New Roman"/>
                <w:sz w:val="18"/>
                <w:szCs w:val="20"/>
              </w:rPr>
            </w:pPr>
            <w:r w:rsidRPr="008E17C8">
              <w:rPr>
                <w:rFonts w:ascii="Times New Roman" w:hAnsi="Times New Roman" w:cs="Times New Roman"/>
                <w:sz w:val="18"/>
                <w:szCs w:val="20"/>
              </w:rPr>
              <w:t>W tym etap 3</w:t>
            </w:r>
          </w:p>
        </w:tc>
        <w:tc>
          <w:tcPr>
            <w:tcW w:w="236" w:type="dxa"/>
          </w:tcPr>
          <w:p w14:paraId="51ABB26C" w14:textId="77777777" w:rsidR="00D41C60" w:rsidRPr="008E17C8" w:rsidRDefault="00D41C60" w:rsidP="00B06E6D">
            <w:pPr>
              <w:jc w:val="both"/>
              <w:rPr>
                <w:rFonts w:ascii="Times New Roman" w:hAnsi="Times New Roman" w:cs="Times New Roman"/>
                <w:sz w:val="18"/>
                <w:szCs w:val="20"/>
              </w:rPr>
            </w:pPr>
          </w:p>
        </w:tc>
        <w:tc>
          <w:tcPr>
            <w:tcW w:w="1085" w:type="dxa"/>
          </w:tcPr>
          <w:p w14:paraId="42E8BE03" w14:textId="77777777" w:rsidR="00D41C60" w:rsidRPr="008E17C8" w:rsidRDefault="00D41C60" w:rsidP="00B06E6D">
            <w:pPr>
              <w:jc w:val="both"/>
              <w:rPr>
                <w:rFonts w:ascii="Times New Roman" w:hAnsi="Times New Roman" w:cs="Times New Roman"/>
                <w:sz w:val="18"/>
                <w:szCs w:val="20"/>
              </w:rPr>
            </w:pPr>
            <w:r w:rsidRPr="008E17C8">
              <w:rPr>
                <w:rFonts w:ascii="Times New Roman" w:hAnsi="Times New Roman" w:cs="Times New Roman"/>
                <w:sz w:val="18"/>
                <w:szCs w:val="20"/>
              </w:rPr>
              <w:t>W tym etap 1</w:t>
            </w:r>
          </w:p>
        </w:tc>
        <w:tc>
          <w:tcPr>
            <w:tcW w:w="1134" w:type="dxa"/>
          </w:tcPr>
          <w:p w14:paraId="75CE5EB1" w14:textId="77777777" w:rsidR="00D41C60" w:rsidRPr="008E17C8" w:rsidRDefault="00D41C60" w:rsidP="00B06E6D">
            <w:pPr>
              <w:jc w:val="both"/>
              <w:rPr>
                <w:rFonts w:ascii="Times New Roman" w:hAnsi="Times New Roman" w:cs="Times New Roman"/>
                <w:sz w:val="18"/>
                <w:szCs w:val="20"/>
              </w:rPr>
            </w:pPr>
            <w:r w:rsidRPr="008E17C8">
              <w:rPr>
                <w:rFonts w:ascii="Times New Roman" w:hAnsi="Times New Roman" w:cs="Times New Roman"/>
                <w:sz w:val="18"/>
                <w:szCs w:val="20"/>
              </w:rPr>
              <w:t>W tym etap 2</w:t>
            </w:r>
          </w:p>
        </w:tc>
        <w:tc>
          <w:tcPr>
            <w:tcW w:w="425" w:type="dxa"/>
          </w:tcPr>
          <w:p w14:paraId="091391D5" w14:textId="77777777" w:rsidR="00D41C60" w:rsidRPr="008E17C8" w:rsidRDefault="00D41C60" w:rsidP="00B06E6D">
            <w:pPr>
              <w:jc w:val="both"/>
              <w:rPr>
                <w:rFonts w:ascii="Times New Roman" w:hAnsi="Times New Roman" w:cs="Times New Roman"/>
                <w:sz w:val="18"/>
                <w:szCs w:val="20"/>
              </w:rPr>
            </w:pPr>
          </w:p>
        </w:tc>
        <w:tc>
          <w:tcPr>
            <w:tcW w:w="992" w:type="dxa"/>
          </w:tcPr>
          <w:p w14:paraId="4ECE50A6" w14:textId="77777777" w:rsidR="00D41C60" w:rsidRPr="008E17C8" w:rsidRDefault="00D41C60" w:rsidP="00B06E6D">
            <w:pPr>
              <w:jc w:val="both"/>
              <w:rPr>
                <w:rFonts w:ascii="Times New Roman" w:hAnsi="Times New Roman" w:cs="Times New Roman"/>
                <w:sz w:val="18"/>
                <w:szCs w:val="20"/>
              </w:rPr>
            </w:pPr>
            <w:r w:rsidRPr="008E17C8">
              <w:rPr>
                <w:rFonts w:ascii="Times New Roman" w:hAnsi="Times New Roman" w:cs="Times New Roman"/>
                <w:sz w:val="18"/>
                <w:szCs w:val="20"/>
              </w:rPr>
              <w:t>W tym etap 2</w:t>
            </w:r>
          </w:p>
        </w:tc>
        <w:tc>
          <w:tcPr>
            <w:tcW w:w="1276" w:type="dxa"/>
          </w:tcPr>
          <w:p w14:paraId="5BF8D9F4" w14:textId="77777777" w:rsidR="00D41C60" w:rsidRPr="008E17C8" w:rsidRDefault="00D41C60" w:rsidP="00B06E6D">
            <w:pPr>
              <w:jc w:val="both"/>
              <w:rPr>
                <w:rFonts w:ascii="Times New Roman" w:hAnsi="Times New Roman" w:cs="Times New Roman"/>
                <w:sz w:val="18"/>
                <w:szCs w:val="20"/>
              </w:rPr>
            </w:pPr>
            <w:r w:rsidRPr="008E17C8">
              <w:rPr>
                <w:rFonts w:ascii="Times New Roman" w:hAnsi="Times New Roman" w:cs="Times New Roman"/>
                <w:sz w:val="18"/>
                <w:szCs w:val="20"/>
              </w:rPr>
              <w:t>W tym etap 3</w:t>
            </w:r>
          </w:p>
        </w:tc>
        <w:tc>
          <w:tcPr>
            <w:tcW w:w="1134" w:type="dxa"/>
            <w:shd w:val="clear" w:color="auto" w:fill="FFC000"/>
          </w:tcPr>
          <w:p w14:paraId="74CE43D3" w14:textId="77777777" w:rsidR="00D41C60" w:rsidRPr="008E17C8" w:rsidRDefault="00D41C60" w:rsidP="00B06E6D">
            <w:pPr>
              <w:jc w:val="both"/>
              <w:rPr>
                <w:rFonts w:ascii="Times New Roman" w:hAnsi="Times New Roman" w:cs="Times New Roman"/>
                <w:sz w:val="20"/>
                <w:szCs w:val="20"/>
              </w:rPr>
            </w:pPr>
          </w:p>
        </w:tc>
        <w:tc>
          <w:tcPr>
            <w:tcW w:w="1417" w:type="dxa"/>
            <w:shd w:val="clear" w:color="auto" w:fill="FFC000"/>
          </w:tcPr>
          <w:p w14:paraId="280CDBDB" w14:textId="77777777" w:rsidR="00D41C60" w:rsidRPr="008E17C8" w:rsidRDefault="00D41C60" w:rsidP="00B06E6D">
            <w:pPr>
              <w:jc w:val="both"/>
              <w:rPr>
                <w:rFonts w:ascii="Times New Roman" w:hAnsi="Times New Roman" w:cs="Times New Roman"/>
                <w:sz w:val="20"/>
                <w:szCs w:val="20"/>
              </w:rPr>
            </w:pPr>
          </w:p>
        </w:tc>
        <w:tc>
          <w:tcPr>
            <w:tcW w:w="1593" w:type="dxa"/>
          </w:tcPr>
          <w:p w14:paraId="105B311C" w14:textId="77777777" w:rsidR="00D41C60" w:rsidRPr="008E17C8" w:rsidRDefault="00D41C60" w:rsidP="00B06E6D">
            <w:pPr>
              <w:jc w:val="both"/>
              <w:rPr>
                <w:rFonts w:ascii="Times New Roman" w:hAnsi="Times New Roman" w:cs="Times New Roman"/>
                <w:sz w:val="20"/>
                <w:szCs w:val="20"/>
              </w:rPr>
            </w:pPr>
          </w:p>
        </w:tc>
      </w:tr>
      <w:tr w:rsidR="00B06E6D" w:rsidRPr="008E17C8" w14:paraId="521A968E" w14:textId="77777777" w:rsidTr="00B06E6D">
        <w:tc>
          <w:tcPr>
            <w:tcW w:w="421" w:type="dxa"/>
          </w:tcPr>
          <w:p w14:paraId="2D916A85"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1</w:t>
            </w:r>
          </w:p>
        </w:tc>
        <w:tc>
          <w:tcPr>
            <w:tcW w:w="1280" w:type="dxa"/>
          </w:tcPr>
          <w:p w14:paraId="3EB03673" w14:textId="77777777" w:rsidR="00D41C60" w:rsidRPr="008E17C8" w:rsidRDefault="00D41C60" w:rsidP="00D41C60">
            <w:pPr>
              <w:pStyle w:val="Default"/>
              <w:rPr>
                <w:sz w:val="18"/>
                <w:szCs w:val="20"/>
              </w:rPr>
            </w:pPr>
            <w:r w:rsidRPr="008E17C8">
              <w:rPr>
                <w:sz w:val="18"/>
                <w:szCs w:val="20"/>
              </w:rPr>
              <w:t xml:space="preserve">Kredyty i zaliczki </w:t>
            </w:r>
          </w:p>
          <w:p w14:paraId="0925B438" w14:textId="77777777" w:rsidR="00D41C60" w:rsidRPr="008E17C8" w:rsidRDefault="00D41C60" w:rsidP="00D41C60">
            <w:pPr>
              <w:rPr>
                <w:rFonts w:ascii="Times New Roman" w:hAnsi="Times New Roman" w:cs="Times New Roman"/>
                <w:sz w:val="18"/>
                <w:szCs w:val="20"/>
              </w:rPr>
            </w:pPr>
          </w:p>
        </w:tc>
        <w:tc>
          <w:tcPr>
            <w:tcW w:w="426" w:type="dxa"/>
          </w:tcPr>
          <w:p w14:paraId="067F850A"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651F890D" w14:textId="77777777" w:rsidR="00D41C60" w:rsidRPr="008E17C8" w:rsidRDefault="00D41C60" w:rsidP="00B06E6D">
            <w:pPr>
              <w:jc w:val="both"/>
              <w:rPr>
                <w:rFonts w:ascii="Times New Roman" w:hAnsi="Times New Roman" w:cs="Times New Roman"/>
                <w:sz w:val="20"/>
                <w:szCs w:val="20"/>
              </w:rPr>
            </w:pPr>
          </w:p>
        </w:tc>
        <w:tc>
          <w:tcPr>
            <w:tcW w:w="709" w:type="dxa"/>
            <w:shd w:val="clear" w:color="auto" w:fill="808080"/>
          </w:tcPr>
          <w:p w14:paraId="05D9AF50" w14:textId="77777777" w:rsidR="00D41C60" w:rsidRPr="008E17C8" w:rsidRDefault="00D41C60" w:rsidP="00B06E6D">
            <w:pPr>
              <w:jc w:val="both"/>
              <w:rPr>
                <w:rFonts w:ascii="Times New Roman" w:hAnsi="Times New Roman" w:cs="Times New Roman"/>
                <w:sz w:val="20"/>
                <w:szCs w:val="20"/>
              </w:rPr>
            </w:pPr>
          </w:p>
        </w:tc>
        <w:tc>
          <w:tcPr>
            <w:tcW w:w="284" w:type="dxa"/>
          </w:tcPr>
          <w:p w14:paraId="0B273FA5"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7BC15D87" w14:textId="77777777" w:rsidR="00D41C60" w:rsidRPr="008E17C8" w:rsidRDefault="00D41C60" w:rsidP="00B06E6D">
            <w:pPr>
              <w:jc w:val="both"/>
              <w:rPr>
                <w:rFonts w:ascii="Times New Roman" w:hAnsi="Times New Roman" w:cs="Times New Roman"/>
                <w:sz w:val="20"/>
                <w:szCs w:val="20"/>
              </w:rPr>
            </w:pPr>
          </w:p>
        </w:tc>
        <w:tc>
          <w:tcPr>
            <w:tcW w:w="806" w:type="dxa"/>
            <w:shd w:val="clear" w:color="auto" w:fill="808080"/>
          </w:tcPr>
          <w:p w14:paraId="442DF3E9" w14:textId="77777777" w:rsidR="00D41C60" w:rsidRPr="008E17C8" w:rsidRDefault="00D41C60" w:rsidP="00B06E6D">
            <w:pPr>
              <w:jc w:val="both"/>
              <w:rPr>
                <w:rFonts w:ascii="Times New Roman" w:hAnsi="Times New Roman" w:cs="Times New Roman"/>
                <w:sz w:val="20"/>
                <w:szCs w:val="20"/>
              </w:rPr>
            </w:pPr>
          </w:p>
        </w:tc>
        <w:tc>
          <w:tcPr>
            <w:tcW w:w="236" w:type="dxa"/>
          </w:tcPr>
          <w:p w14:paraId="31F312D4" w14:textId="77777777" w:rsidR="00D41C60" w:rsidRPr="008E17C8" w:rsidRDefault="00D41C60" w:rsidP="00B06E6D">
            <w:pPr>
              <w:jc w:val="both"/>
              <w:rPr>
                <w:rFonts w:ascii="Times New Roman" w:hAnsi="Times New Roman" w:cs="Times New Roman"/>
                <w:sz w:val="20"/>
                <w:szCs w:val="20"/>
              </w:rPr>
            </w:pPr>
          </w:p>
        </w:tc>
        <w:tc>
          <w:tcPr>
            <w:tcW w:w="1085" w:type="dxa"/>
            <w:shd w:val="clear" w:color="auto" w:fill="808080"/>
          </w:tcPr>
          <w:p w14:paraId="5526190B"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808080"/>
          </w:tcPr>
          <w:p w14:paraId="319BA685" w14:textId="77777777" w:rsidR="00D41C60" w:rsidRPr="008E17C8" w:rsidRDefault="00D41C60" w:rsidP="00B06E6D">
            <w:pPr>
              <w:jc w:val="both"/>
              <w:rPr>
                <w:rFonts w:ascii="Times New Roman" w:hAnsi="Times New Roman" w:cs="Times New Roman"/>
                <w:sz w:val="20"/>
                <w:szCs w:val="20"/>
              </w:rPr>
            </w:pPr>
          </w:p>
        </w:tc>
        <w:tc>
          <w:tcPr>
            <w:tcW w:w="425" w:type="dxa"/>
          </w:tcPr>
          <w:p w14:paraId="3B5008E5"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808080"/>
          </w:tcPr>
          <w:p w14:paraId="08720519" w14:textId="77777777" w:rsidR="00D41C60" w:rsidRPr="008E17C8" w:rsidRDefault="00D41C60" w:rsidP="00B06E6D">
            <w:pPr>
              <w:jc w:val="both"/>
              <w:rPr>
                <w:rFonts w:ascii="Times New Roman" w:hAnsi="Times New Roman" w:cs="Times New Roman"/>
                <w:sz w:val="20"/>
                <w:szCs w:val="20"/>
              </w:rPr>
            </w:pPr>
          </w:p>
        </w:tc>
        <w:tc>
          <w:tcPr>
            <w:tcW w:w="1276" w:type="dxa"/>
            <w:shd w:val="clear" w:color="auto" w:fill="808080"/>
          </w:tcPr>
          <w:p w14:paraId="193A43A3"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FFC000"/>
          </w:tcPr>
          <w:p w14:paraId="6B41767D" w14:textId="77777777" w:rsidR="00D41C60" w:rsidRPr="008E17C8" w:rsidRDefault="00D41C60" w:rsidP="00B06E6D">
            <w:pPr>
              <w:jc w:val="both"/>
              <w:rPr>
                <w:rFonts w:ascii="Times New Roman" w:hAnsi="Times New Roman" w:cs="Times New Roman"/>
                <w:sz w:val="20"/>
                <w:szCs w:val="20"/>
              </w:rPr>
            </w:pPr>
          </w:p>
        </w:tc>
        <w:tc>
          <w:tcPr>
            <w:tcW w:w="1417" w:type="dxa"/>
            <w:shd w:val="clear" w:color="auto" w:fill="FFC000"/>
          </w:tcPr>
          <w:p w14:paraId="496B950B" w14:textId="77777777" w:rsidR="00D41C60" w:rsidRPr="008E17C8" w:rsidRDefault="00D41C60" w:rsidP="00B06E6D">
            <w:pPr>
              <w:jc w:val="both"/>
              <w:rPr>
                <w:rFonts w:ascii="Times New Roman" w:hAnsi="Times New Roman" w:cs="Times New Roman"/>
                <w:sz w:val="20"/>
                <w:szCs w:val="20"/>
              </w:rPr>
            </w:pPr>
          </w:p>
        </w:tc>
        <w:tc>
          <w:tcPr>
            <w:tcW w:w="1593" w:type="dxa"/>
          </w:tcPr>
          <w:p w14:paraId="3F4195BF" w14:textId="77777777" w:rsidR="00D41C60" w:rsidRPr="008E17C8" w:rsidRDefault="00D41C60" w:rsidP="00B06E6D">
            <w:pPr>
              <w:jc w:val="both"/>
              <w:rPr>
                <w:rFonts w:ascii="Times New Roman" w:hAnsi="Times New Roman" w:cs="Times New Roman"/>
                <w:sz w:val="20"/>
                <w:szCs w:val="20"/>
              </w:rPr>
            </w:pPr>
          </w:p>
        </w:tc>
      </w:tr>
      <w:tr w:rsidR="00B06E6D" w:rsidRPr="008E17C8" w14:paraId="152FCFA2" w14:textId="77777777" w:rsidTr="00B06E6D">
        <w:tc>
          <w:tcPr>
            <w:tcW w:w="421" w:type="dxa"/>
          </w:tcPr>
          <w:p w14:paraId="610E9B14"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2</w:t>
            </w:r>
          </w:p>
        </w:tc>
        <w:tc>
          <w:tcPr>
            <w:tcW w:w="1280" w:type="dxa"/>
          </w:tcPr>
          <w:p w14:paraId="086031C6" w14:textId="77777777" w:rsidR="00D41C60" w:rsidRPr="008E17C8" w:rsidRDefault="00D41C60" w:rsidP="00D41C60">
            <w:pPr>
              <w:pStyle w:val="Default"/>
              <w:rPr>
                <w:sz w:val="18"/>
                <w:szCs w:val="20"/>
              </w:rPr>
            </w:pPr>
            <w:r w:rsidRPr="008E17C8">
              <w:rPr>
                <w:iCs/>
                <w:sz w:val="18"/>
                <w:szCs w:val="20"/>
              </w:rPr>
              <w:t xml:space="preserve">Banki centralne </w:t>
            </w:r>
          </w:p>
          <w:p w14:paraId="6D6234CC" w14:textId="77777777" w:rsidR="00D41C60" w:rsidRPr="008E17C8" w:rsidRDefault="00D41C60" w:rsidP="00D41C60">
            <w:pPr>
              <w:rPr>
                <w:rFonts w:ascii="Times New Roman" w:hAnsi="Times New Roman" w:cs="Times New Roman"/>
                <w:sz w:val="18"/>
                <w:szCs w:val="20"/>
              </w:rPr>
            </w:pPr>
          </w:p>
        </w:tc>
        <w:tc>
          <w:tcPr>
            <w:tcW w:w="426" w:type="dxa"/>
          </w:tcPr>
          <w:p w14:paraId="6B9054F7"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1B188670" w14:textId="77777777" w:rsidR="00D41C60" w:rsidRPr="008E17C8" w:rsidRDefault="00D41C60" w:rsidP="00B06E6D">
            <w:pPr>
              <w:jc w:val="both"/>
              <w:rPr>
                <w:rFonts w:ascii="Times New Roman" w:hAnsi="Times New Roman" w:cs="Times New Roman"/>
                <w:sz w:val="20"/>
                <w:szCs w:val="20"/>
              </w:rPr>
            </w:pPr>
          </w:p>
        </w:tc>
        <w:tc>
          <w:tcPr>
            <w:tcW w:w="709" w:type="dxa"/>
            <w:shd w:val="clear" w:color="auto" w:fill="808080"/>
          </w:tcPr>
          <w:p w14:paraId="16EA3029" w14:textId="77777777" w:rsidR="00D41C60" w:rsidRPr="008E17C8" w:rsidRDefault="00D41C60" w:rsidP="00B06E6D">
            <w:pPr>
              <w:jc w:val="both"/>
              <w:rPr>
                <w:rFonts w:ascii="Times New Roman" w:hAnsi="Times New Roman" w:cs="Times New Roman"/>
                <w:sz w:val="20"/>
                <w:szCs w:val="20"/>
              </w:rPr>
            </w:pPr>
          </w:p>
        </w:tc>
        <w:tc>
          <w:tcPr>
            <w:tcW w:w="284" w:type="dxa"/>
          </w:tcPr>
          <w:p w14:paraId="31465496"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7227C11A" w14:textId="77777777" w:rsidR="00D41C60" w:rsidRPr="008E17C8" w:rsidRDefault="00D41C60" w:rsidP="00B06E6D">
            <w:pPr>
              <w:jc w:val="both"/>
              <w:rPr>
                <w:rFonts w:ascii="Times New Roman" w:hAnsi="Times New Roman" w:cs="Times New Roman"/>
                <w:sz w:val="20"/>
                <w:szCs w:val="20"/>
              </w:rPr>
            </w:pPr>
          </w:p>
        </w:tc>
        <w:tc>
          <w:tcPr>
            <w:tcW w:w="806" w:type="dxa"/>
            <w:shd w:val="clear" w:color="auto" w:fill="808080"/>
          </w:tcPr>
          <w:p w14:paraId="7A27EEA3" w14:textId="77777777" w:rsidR="00D41C60" w:rsidRPr="008E17C8" w:rsidRDefault="00D41C60" w:rsidP="00B06E6D">
            <w:pPr>
              <w:jc w:val="both"/>
              <w:rPr>
                <w:rFonts w:ascii="Times New Roman" w:hAnsi="Times New Roman" w:cs="Times New Roman"/>
                <w:sz w:val="20"/>
                <w:szCs w:val="20"/>
              </w:rPr>
            </w:pPr>
          </w:p>
        </w:tc>
        <w:tc>
          <w:tcPr>
            <w:tcW w:w="236" w:type="dxa"/>
          </w:tcPr>
          <w:p w14:paraId="68FAEE81" w14:textId="77777777" w:rsidR="00D41C60" w:rsidRPr="008E17C8" w:rsidRDefault="00D41C60" w:rsidP="00B06E6D">
            <w:pPr>
              <w:jc w:val="both"/>
              <w:rPr>
                <w:rFonts w:ascii="Times New Roman" w:hAnsi="Times New Roman" w:cs="Times New Roman"/>
                <w:sz w:val="20"/>
                <w:szCs w:val="20"/>
              </w:rPr>
            </w:pPr>
          </w:p>
        </w:tc>
        <w:tc>
          <w:tcPr>
            <w:tcW w:w="1085" w:type="dxa"/>
            <w:shd w:val="clear" w:color="auto" w:fill="808080"/>
          </w:tcPr>
          <w:p w14:paraId="7D9CBE79"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808080"/>
          </w:tcPr>
          <w:p w14:paraId="01443294" w14:textId="77777777" w:rsidR="00D41C60" w:rsidRPr="008E17C8" w:rsidRDefault="00D41C60" w:rsidP="00B06E6D">
            <w:pPr>
              <w:jc w:val="both"/>
              <w:rPr>
                <w:rFonts w:ascii="Times New Roman" w:hAnsi="Times New Roman" w:cs="Times New Roman"/>
                <w:sz w:val="20"/>
                <w:szCs w:val="20"/>
              </w:rPr>
            </w:pPr>
          </w:p>
        </w:tc>
        <w:tc>
          <w:tcPr>
            <w:tcW w:w="425" w:type="dxa"/>
          </w:tcPr>
          <w:p w14:paraId="30550CBE"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808080"/>
          </w:tcPr>
          <w:p w14:paraId="49D6989C" w14:textId="77777777" w:rsidR="00D41C60" w:rsidRPr="008E17C8" w:rsidRDefault="00D41C60" w:rsidP="00B06E6D">
            <w:pPr>
              <w:jc w:val="both"/>
              <w:rPr>
                <w:rFonts w:ascii="Times New Roman" w:hAnsi="Times New Roman" w:cs="Times New Roman"/>
                <w:sz w:val="20"/>
                <w:szCs w:val="20"/>
              </w:rPr>
            </w:pPr>
          </w:p>
        </w:tc>
        <w:tc>
          <w:tcPr>
            <w:tcW w:w="1276" w:type="dxa"/>
            <w:shd w:val="clear" w:color="auto" w:fill="808080"/>
          </w:tcPr>
          <w:p w14:paraId="48A977DE"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FFC000"/>
          </w:tcPr>
          <w:p w14:paraId="2868640E" w14:textId="77777777" w:rsidR="00D41C60" w:rsidRPr="008E17C8" w:rsidRDefault="00D41C60" w:rsidP="00B06E6D">
            <w:pPr>
              <w:jc w:val="both"/>
              <w:rPr>
                <w:rFonts w:ascii="Times New Roman" w:hAnsi="Times New Roman" w:cs="Times New Roman"/>
                <w:sz w:val="20"/>
                <w:szCs w:val="20"/>
              </w:rPr>
            </w:pPr>
          </w:p>
        </w:tc>
        <w:tc>
          <w:tcPr>
            <w:tcW w:w="1417" w:type="dxa"/>
            <w:shd w:val="clear" w:color="auto" w:fill="FFC000"/>
          </w:tcPr>
          <w:p w14:paraId="47D32FD9" w14:textId="77777777" w:rsidR="00D41C60" w:rsidRPr="008E17C8" w:rsidRDefault="00D41C60" w:rsidP="00B06E6D">
            <w:pPr>
              <w:jc w:val="both"/>
              <w:rPr>
                <w:rFonts w:ascii="Times New Roman" w:hAnsi="Times New Roman" w:cs="Times New Roman"/>
                <w:sz w:val="20"/>
                <w:szCs w:val="20"/>
              </w:rPr>
            </w:pPr>
          </w:p>
        </w:tc>
        <w:tc>
          <w:tcPr>
            <w:tcW w:w="1593" w:type="dxa"/>
          </w:tcPr>
          <w:p w14:paraId="0BDF6B9B" w14:textId="77777777" w:rsidR="00D41C60" w:rsidRPr="008E17C8" w:rsidRDefault="00D41C60" w:rsidP="00B06E6D">
            <w:pPr>
              <w:jc w:val="both"/>
              <w:rPr>
                <w:rFonts w:ascii="Times New Roman" w:hAnsi="Times New Roman" w:cs="Times New Roman"/>
                <w:sz w:val="20"/>
                <w:szCs w:val="20"/>
              </w:rPr>
            </w:pPr>
          </w:p>
        </w:tc>
      </w:tr>
      <w:tr w:rsidR="00B06E6D" w:rsidRPr="008E17C8" w14:paraId="6DEBC351" w14:textId="77777777" w:rsidTr="00B06E6D">
        <w:tc>
          <w:tcPr>
            <w:tcW w:w="421" w:type="dxa"/>
          </w:tcPr>
          <w:p w14:paraId="663D47C6"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3</w:t>
            </w:r>
          </w:p>
        </w:tc>
        <w:tc>
          <w:tcPr>
            <w:tcW w:w="1280" w:type="dxa"/>
          </w:tcPr>
          <w:p w14:paraId="57F77389" w14:textId="77777777" w:rsidR="00D41C60" w:rsidRPr="008E17C8" w:rsidRDefault="00D41C60" w:rsidP="00D41C60">
            <w:pPr>
              <w:pStyle w:val="Default"/>
              <w:rPr>
                <w:sz w:val="18"/>
                <w:szCs w:val="20"/>
              </w:rPr>
            </w:pPr>
            <w:r w:rsidRPr="008E17C8">
              <w:rPr>
                <w:iCs/>
                <w:sz w:val="18"/>
                <w:szCs w:val="20"/>
              </w:rPr>
              <w:t xml:space="preserve">Instytucje rządowe </w:t>
            </w:r>
          </w:p>
          <w:p w14:paraId="4B182B3B" w14:textId="77777777" w:rsidR="00D41C60" w:rsidRPr="008E17C8" w:rsidRDefault="00D41C60" w:rsidP="00D41C60">
            <w:pPr>
              <w:rPr>
                <w:rFonts w:ascii="Times New Roman" w:hAnsi="Times New Roman" w:cs="Times New Roman"/>
                <w:sz w:val="18"/>
                <w:szCs w:val="20"/>
              </w:rPr>
            </w:pPr>
          </w:p>
        </w:tc>
        <w:tc>
          <w:tcPr>
            <w:tcW w:w="426" w:type="dxa"/>
          </w:tcPr>
          <w:p w14:paraId="793F55D0"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0DCC1589" w14:textId="77777777" w:rsidR="00D41C60" w:rsidRPr="008E17C8" w:rsidRDefault="00D41C60" w:rsidP="00B06E6D">
            <w:pPr>
              <w:jc w:val="both"/>
              <w:rPr>
                <w:rFonts w:ascii="Times New Roman" w:hAnsi="Times New Roman" w:cs="Times New Roman"/>
                <w:sz w:val="20"/>
                <w:szCs w:val="20"/>
              </w:rPr>
            </w:pPr>
          </w:p>
        </w:tc>
        <w:tc>
          <w:tcPr>
            <w:tcW w:w="709" w:type="dxa"/>
            <w:shd w:val="clear" w:color="auto" w:fill="808080"/>
          </w:tcPr>
          <w:p w14:paraId="6962DDBE" w14:textId="77777777" w:rsidR="00D41C60" w:rsidRPr="008E17C8" w:rsidRDefault="00D41C60" w:rsidP="00B06E6D">
            <w:pPr>
              <w:jc w:val="both"/>
              <w:rPr>
                <w:rFonts w:ascii="Times New Roman" w:hAnsi="Times New Roman" w:cs="Times New Roman"/>
                <w:sz w:val="20"/>
                <w:szCs w:val="20"/>
              </w:rPr>
            </w:pPr>
          </w:p>
        </w:tc>
        <w:tc>
          <w:tcPr>
            <w:tcW w:w="284" w:type="dxa"/>
          </w:tcPr>
          <w:p w14:paraId="10E1ABFA"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3C8F4327" w14:textId="77777777" w:rsidR="00D41C60" w:rsidRPr="008E17C8" w:rsidRDefault="00D41C60" w:rsidP="00B06E6D">
            <w:pPr>
              <w:jc w:val="both"/>
              <w:rPr>
                <w:rFonts w:ascii="Times New Roman" w:hAnsi="Times New Roman" w:cs="Times New Roman"/>
                <w:sz w:val="20"/>
                <w:szCs w:val="20"/>
              </w:rPr>
            </w:pPr>
          </w:p>
        </w:tc>
        <w:tc>
          <w:tcPr>
            <w:tcW w:w="806" w:type="dxa"/>
            <w:shd w:val="clear" w:color="auto" w:fill="808080"/>
          </w:tcPr>
          <w:p w14:paraId="5F1004E2" w14:textId="77777777" w:rsidR="00D41C60" w:rsidRPr="008E17C8" w:rsidRDefault="00D41C60" w:rsidP="00B06E6D">
            <w:pPr>
              <w:jc w:val="both"/>
              <w:rPr>
                <w:rFonts w:ascii="Times New Roman" w:hAnsi="Times New Roman" w:cs="Times New Roman"/>
                <w:sz w:val="20"/>
                <w:szCs w:val="20"/>
              </w:rPr>
            </w:pPr>
          </w:p>
        </w:tc>
        <w:tc>
          <w:tcPr>
            <w:tcW w:w="236" w:type="dxa"/>
          </w:tcPr>
          <w:p w14:paraId="04984A84" w14:textId="77777777" w:rsidR="00D41C60" w:rsidRPr="008E17C8" w:rsidRDefault="00D41C60" w:rsidP="00B06E6D">
            <w:pPr>
              <w:jc w:val="both"/>
              <w:rPr>
                <w:rFonts w:ascii="Times New Roman" w:hAnsi="Times New Roman" w:cs="Times New Roman"/>
                <w:sz w:val="20"/>
                <w:szCs w:val="20"/>
              </w:rPr>
            </w:pPr>
          </w:p>
        </w:tc>
        <w:tc>
          <w:tcPr>
            <w:tcW w:w="1085" w:type="dxa"/>
            <w:shd w:val="clear" w:color="auto" w:fill="808080"/>
          </w:tcPr>
          <w:p w14:paraId="616F5975"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808080"/>
          </w:tcPr>
          <w:p w14:paraId="07C7BD7E" w14:textId="77777777" w:rsidR="00D41C60" w:rsidRPr="008E17C8" w:rsidRDefault="00D41C60" w:rsidP="00B06E6D">
            <w:pPr>
              <w:jc w:val="both"/>
              <w:rPr>
                <w:rFonts w:ascii="Times New Roman" w:hAnsi="Times New Roman" w:cs="Times New Roman"/>
                <w:sz w:val="20"/>
                <w:szCs w:val="20"/>
              </w:rPr>
            </w:pPr>
          </w:p>
        </w:tc>
        <w:tc>
          <w:tcPr>
            <w:tcW w:w="425" w:type="dxa"/>
          </w:tcPr>
          <w:p w14:paraId="14BD320A"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808080"/>
          </w:tcPr>
          <w:p w14:paraId="39356401" w14:textId="77777777" w:rsidR="00D41C60" w:rsidRPr="008E17C8" w:rsidRDefault="00D41C60" w:rsidP="00B06E6D">
            <w:pPr>
              <w:jc w:val="both"/>
              <w:rPr>
                <w:rFonts w:ascii="Times New Roman" w:hAnsi="Times New Roman" w:cs="Times New Roman"/>
                <w:sz w:val="20"/>
                <w:szCs w:val="20"/>
              </w:rPr>
            </w:pPr>
          </w:p>
        </w:tc>
        <w:tc>
          <w:tcPr>
            <w:tcW w:w="1276" w:type="dxa"/>
            <w:shd w:val="clear" w:color="auto" w:fill="808080"/>
          </w:tcPr>
          <w:p w14:paraId="504A40F2"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FFC000"/>
          </w:tcPr>
          <w:p w14:paraId="4BAA61CC" w14:textId="77777777" w:rsidR="00D41C60" w:rsidRPr="008E17C8" w:rsidRDefault="00D41C60" w:rsidP="00B06E6D">
            <w:pPr>
              <w:jc w:val="both"/>
              <w:rPr>
                <w:rFonts w:ascii="Times New Roman" w:hAnsi="Times New Roman" w:cs="Times New Roman"/>
                <w:sz w:val="20"/>
                <w:szCs w:val="20"/>
              </w:rPr>
            </w:pPr>
          </w:p>
        </w:tc>
        <w:tc>
          <w:tcPr>
            <w:tcW w:w="1417" w:type="dxa"/>
            <w:shd w:val="clear" w:color="auto" w:fill="FFC000"/>
          </w:tcPr>
          <w:p w14:paraId="6276BFCD" w14:textId="77777777" w:rsidR="00D41C60" w:rsidRPr="008E17C8" w:rsidRDefault="00D41C60" w:rsidP="00B06E6D">
            <w:pPr>
              <w:jc w:val="both"/>
              <w:rPr>
                <w:rFonts w:ascii="Times New Roman" w:hAnsi="Times New Roman" w:cs="Times New Roman"/>
                <w:sz w:val="20"/>
                <w:szCs w:val="20"/>
              </w:rPr>
            </w:pPr>
          </w:p>
        </w:tc>
        <w:tc>
          <w:tcPr>
            <w:tcW w:w="1593" w:type="dxa"/>
          </w:tcPr>
          <w:p w14:paraId="00A8FC82" w14:textId="77777777" w:rsidR="00D41C60" w:rsidRPr="008E17C8" w:rsidRDefault="00D41C60" w:rsidP="00B06E6D">
            <w:pPr>
              <w:jc w:val="both"/>
              <w:rPr>
                <w:rFonts w:ascii="Times New Roman" w:hAnsi="Times New Roman" w:cs="Times New Roman"/>
                <w:sz w:val="20"/>
                <w:szCs w:val="20"/>
              </w:rPr>
            </w:pPr>
          </w:p>
        </w:tc>
      </w:tr>
      <w:tr w:rsidR="00B06E6D" w:rsidRPr="008E17C8" w14:paraId="30FE8476" w14:textId="77777777" w:rsidTr="00B06E6D">
        <w:tc>
          <w:tcPr>
            <w:tcW w:w="421" w:type="dxa"/>
          </w:tcPr>
          <w:p w14:paraId="08B0EE32"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4</w:t>
            </w:r>
          </w:p>
        </w:tc>
        <w:tc>
          <w:tcPr>
            <w:tcW w:w="1280" w:type="dxa"/>
          </w:tcPr>
          <w:p w14:paraId="06AEA53F" w14:textId="77777777" w:rsidR="00D41C60" w:rsidRPr="008E17C8" w:rsidRDefault="00D41C60" w:rsidP="00D41C60">
            <w:pPr>
              <w:pStyle w:val="Default"/>
              <w:rPr>
                <w:sz w:val="18"/>
                <w:szCs w:val="20"/>
              </w:rPr>
            </w:pPr>
            <w:r w:rsidRPr="008E17C8">
              <w:rPr>
                <w:iCs/>
                <w:sz w:val="18"/>
                <w:szCs w:val="20"/>
              </w:rPr>
              <w:t xml:space="preserve">Instytucje kredytowe </w:t>
            </w:r>
          </w:p>
          <w:p w14:paraId="75061463" w14:textId="77777777" w:rsidR="00D41C60" w:rsidRPr="008E17C8" w:rsidRDefault="00D41C60" w:rsidP="00D41C60">
            <w:pPr>
              <w:rPr>
                <w:rFonts w:ascii="Times New Roman" w:hAnsi="Times New Roman" w:cs="Times New Roman"/>
                <w:sz w:val="18"/>
                <w:szCs w:val="20"/>
              </w:rPr>
            </w:pPr>
          </w:p>
        </w:tc>
        <w:tc>
          <w:tcPr>
            <w:tcW w:w="426" w:type="dxa"/>
          </w:tcPr>
          <w:p w14:paraId="05490424"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5D309B63" w14:textId="77777777" w:rsidR="00D41C60" w:rsidRPr="008E17C8" w:rsidRDefault="00D41C60" w:rsidP="00B06E6D">
            <w:pPr>
              <w:jc w:val="both"/>
              <w:rPr>
                <w:rFonts w:ascii="Times New Roman" w:hAnsi="Times New Roman" w:cs="Times New Roman"/>
                <w:sz w:val="20"/>
                <w:szCs w:val="20"/>
              </w:rPr>
            </w:pPr>
          </w:p>
        </w:tc>
        <w:tc>
          <w:tcPr>
            <w:tcW w:w="709" w:type="dxa"/>
            <w:shd w:val="clear" w:color="auto" w:fill="808080"/>
          </w:tcPr>
          <w:p w14:paraId="2CC61BA7" w14:textId="77777777" w:rsidR="00D41C60" w:rsidRPr="008E17C8" w:rsidRDefault="00D41C60" w:rsidP="00B06E6D">
            <w:pPr>
              <w:jc w:val="both"/>
              <w:rPr>
                <w:rFonts w:ascii="Times New Roman" w:hAnsi="Times New Roman" w:cs="Times New Roman"/>
                <w:sz w:val="20"/>
                <w:szCs w:val="20"/>
              </w:rPr>
            </w:pPr>
          </w:p>
        </w:tc>
        <w:tc>
          <w:tcPr>
            <w:tcW w:w="284" w:type="dxa"/>
          </w:tcPr>
          <w:p w14:paraId="471FA4B8"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23FEF286" w14:textId="77777777" w:rsidR="00D41C60" w:rsidRPr="008E17C8" w:rsidRDefault="00D41C60" w:rsidP="00B06E6D">
            <w:pPr>
              <w:jc w:val="both"/>
              <w:rPr>
                <w:rFonts w:ascii="Times New Roman" w:hAnsi="Times New Roman" w:cs="Times New Roman"/>
                <w:sz w:val="20"/>
                <w:szCs w:val="20"/>
              </w:rPr>
            </w:pPr>
          </w:p>
        </w:tc>
        <w:tc>
          <w:tcPr>
            <w:tcW w:w="806" w:type="dxa"/>
            <w:shd w:val="clear" w:color="auto" w:fill="808080"/>
          </w:tcPr>
          <w:p w14:paraId="06AAC3B1" w14:textId="77777777" w:rsidR="00D41C60" w:rsidRPr="008E17C8" w:rsidRDefault="00D41C60" w:rsidP="00B06E6D">
            <w:pPr>
              <w:jc w:val="both"/>
              <w:rPr>
                <w:rFonts w:ascii="Times New Roman" w:hAnsi="Times New Roman" w:cs="Times New Roman"/>
                <w:sz w:val="20"/>
                <w:szCs w:val="20"/>
              </w:rPr>
            </w:pPr>
          </w:p>
        </w:tc>
        <w:tc>
          <w:tcPr>
            <w:tcW w:w="236" w:type="dxa"/>
          </w:tcPr>
          <w:p w14:paraId="60221BF0" w14:textId="77777777" w:rsidR="00D41C60" w:rsidRPr="008E17C8" w:rsidRDefault="00D41C60" w:rsidP="00B06E6D">
            <w:pPr>
              <w:jc w:val="both"/>
              <w:rPr>
                <w:rFonts w:ascii="Times New Roman" w:hAnsi="Times New Roman" w:cs="Times New Roman"/>
                <w:sz w:val="20"/>
                <w:szCs w:val="20"/>
              </w:rPr>
            </w:pPr>
          </w:p>
        </w:tc>
        <w:tc>
          <w:tcPr>
            <w:tcW w:w="1085" w:type="dxa"/>
            <w:shd w:val="clear" w:color="auto" w:fill="808080"/>
          </w:tcPr>
          <w:p w14:paraId="1796C0B3"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808080"/>
          </w:tcPr>
          <w:p w14:paraId="0D6B45D5" w14:textId="77777777" w:rsidR="00D41C60" w:rsidRPr="008E17C8" w:rsidRDefault="00D41C60" w:rsidP="00B06E6D">
            <w:pPr>
              <w:jc w:val="both"/>
              <w:rPr>
                <w:rFonts w:ascii="Times New Roman" w:hAnsi="Times New Roman" w:cs="Times New Roman"/>
                <w:sz w:val="20"/>
                <w:szCs w:val="20"/>
              </w:rPr>
            </w:pPr>
          </w:p>
        </w:tc>
        <w:tc>
          <w:tcPr>
            <w:tcW w:w="425" w:type="dxa"/>
          </w:tcPr>
          <w:p w14:paraId="6762B5B2"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808080"/>
          </w:tcPr>
          <w:p w14:paraId="50E16C24" w14:textId="77777777" w:rsidR="00D41C60" w:rsidRPr="008E17C8" w:rsidRDefault="00D41C60" w:rsidP="00B06E6D">
            <w:pPr>
              <w:jc w:val="both"/>
              <w:rPr>
                <w:rFonts w:ascii="Times New Roman" w:hAnsi="Times New Roman" w:cs="Times New Roman"/>
                <w:sz w:val="20"/>
                <w:szCs w:val="20"/>
              </w:rPr>
            </w:pPr>
          </w:p>
        </w:tc>
        <w:tc>
          <w:tcPr>
            <w:tcW w:w="1276" w:type="dxa"/>
            <w:shd w:val="clear" w:color="auto" w:fill="808080"/>
          </w:tcPr>
          <w:p w14:paraId="72FE924B"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FFC000"/>
          </w:tcPr>
          <w:p w14:paraId="2B3F32B2" w14:textId="77777777" w:rsidR="00D41C60" w:rsidRPr="008E17C8" w:rsidRDefault="00D41C60" w:rsidP="00B06E6D">
            <w:pPr>
              <w:jc w:val="both"/>
              <w:rPr>
                <w:rFonts w:ascii="Times New Roman" w:hAnsi="Times New Roman" w:cs="Times New Roman"/>
                <w:sz w:val="20"/>
                <w:szCs w:val="20"/>
              </w:rPr>
            </w:pPr>
          </w:p>
        </w:tc>
        <w:tc>
          <w:tcPr>
            <w:tcW w:w="1417" w:type="dxa"/>
            <w:shd w:val="clear" w:color="auto" w:fill="FFC000"/>
          </w:tcPr>
          <w:p w14:paraId="32889C6C" w14:textId="77777777" w:rsidR="00D41C60" w:rsidRPr="008E17C8" w:rsidRDefault="00D41C60" w:rsidP="00B06E6D">
            <w:pPr>
              <w:jc w:val="both"/>
              <w:rPr>
                <w:rFonts w:ascii="Times New Roman" w:hAnsi="Times New Roman" w:cs="Times New Roman"/>
                <w:sz w:val="20"/>
                <w:szCs w:val="20"/>
              </w:rPr>
            </w:pPr>
          </w:p>
        </w:tc>
        <w:tc>
          <w:tcPr>
            <w:tcW w:w="1593" w:type="dxa"/>
          </w:tcPr>
          <w:p w14:paraId="3DE5B932" w14:textId="77777777" w:rsidR="00D41C60" w:rsidRPr="008E17C8" w:rsidRDefault="00D41C60" w:rsidP="00B06E6D">
            <w:pPr>
              <w:jc w:val="both"/>
              <w:rPr>
                <w:rFonts w:ascii="Times New Roman" w:hAnsi="Times New Roman" w:cs="Times New Roman"/>
                <w:sz w:val="20"/>
                <w:szCs w:val="20"/>
              </w:rPr>
            </w:pPr>
          </w:p>
        </w:tc>
      </w:tr>
      <w:tr w:rsidR="00B06E6D" w:rsidRPr="008E17C8" w14:paraId="7BB6B632" w14:textId="77777777" w:rsidTr="00B06E6D">
        <w:tc>
          <w:tcPr>
            <w:tcW w:w="421" w:type="dxa"/>
          </w:tcPr>
          <w:p w14:paraId="2F2C7FC8"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5</w:t>
            </w:r>
          </w:p>
        </w:tc>
        <w:tc>
          <w:tcPr>
            <w:tcW w:w="1280" w:type="dxa"/>
          </w:tcPr>
          <w:p w14:paraId="592ED81F" w14:textId="77777777" w:rsidR="00D41C60" w:rsidRPr="008E17C8" w:rsidRDefault="00D41C60" w:rsidP="00D41C60">
            <w:pPr>
              <w:pStyle w:val="Default"/>
              <w:rPr>
                <w:sz w:val="18"/>
                <w:szCs w:val="20"/>
              </w:rPr>
            </w:pPr>
            <w:r w:rsidRPr="008E17C8">
              <w:rPr>
                <w:iCs/>
                <w:sz w:val="18"/>
                <w:szCs w:val="20"/>
              </w:rPr>
              <w:t xml:space="preserve">Inne instytucje finansowe </w:t>
            </w:r>
          </w:p>
          <w:p w14:paraId="75260D80" w14:textId="77777777" w:rsidR="00D41C60" w:rsidRPr="008E17C8" w:rsidRDefault="00D41C60" w:rsidP="00D41C60">
            <w:pPr>
              <w:rPr>
                <w:rFonts w:ascii="Times New Roman" w:hAnsi="Times New Roman" w:cs="Times New Roman"/>
                <w:sz w:val="18"/>
                <w:szCs w:val="20"/>
              </w:rPr>
            </w:pPr>
          </w:p>
        </w:tc>
        <w:tc>
          <w:tcPr>
            <w:tcW w:w="426" w:type="dxa"/>
          </w:tcPr>
          <w:p w14:paraId="4FE0EB73"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02B56FAD" w14:textId="77777777" w:rsidR="00D41C60" w:rsidRPr="008E17C8" w:rsidRDefault="00D41C60" w:rsidP="00B06E6D">
            <w:pPr>
              <w:jc w:val="both"/>
              <w:rPr>
                <w:rFonts w:ascii="Times New Roman" w:hAnsi="Times New Roman" w:cs="Times New Roman"/>
                <w:sz w:val="20"/>
                <w:szCs w:val="20"/>
              </w:rPr>
            </w:pPr>
          </w:p>
        </w:tc>
        <w:tc>
          <w:tcPr>
            <w:tcW w:w="709" w:type="dxa"/>
            <w:shd w:val="clear" w:color="auto" w:fill="808080"/>
          </w:tcPr>
          <w:p w14:paraId="0589EB9C" w14:textId="77777777" w:rsidR="00D41C60" w:rsidRPr="008E17C8" w:rsidRDefault="00D41C60" w:rsidP="00B06E6D">
            <w:pPr>
              <w:jc w:val="both"/>
              <w:rPr>
                <w:rFonts w:ascii="Times New Roman" w:hAnsi="Times New Roman" w:cs="Times New Roman"/>
                <w:sz w:val="20"/>
                <w:szCs w:val="20"/>
              </w:rPr>
            </w:pPr>
          </w:p>
        </w:tc>
        <w:tc>
          <w:tcPr>
            <w:tcW w:w="284" w:type="dxa"/>
          </w:tcPr>
          <w:p w14:paraId="17207626"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53615C4C" w14:textId="77777777" w:rsidR="00D41C60" w:rsidRPr="008E17C8" w:rsidRDefault="00D41C60" w:rsidP="00B06E6D">
            <w:pPr>
              <w:jc w:val="both"/>
              <w:rPr>
                <w:rFonts w:ascii="Times New Roman" w:hAnsi="Times New Roman" w:cs="Times New Roman"/>
                <w:sz w:val="20"/>
                <w:szCs w:val="20"/>
              </w:rPr>
            </w:pPr>
          </w:p>
        </w:tc>
        <w:tc>
          <w:tcPr>
            <w:tcW w:w="806" w:type="dxa"/>
            <w:shd w:val="clear" w:color="auto" w:fill="808080"/>
          </w:tcPr>
          <w:p w14:paraId="591EABA8" w14:textId="77777777" w:rsidR="00D41C60" w:rsidRPr="008E17C8" w:rsidRDefault="00D41C60" w:rsidP="00B06E6D">
            <w:pPr>
              <w:jc w:val="both"/>
              <w:rPr>
                <w:rFonts w:ascii="Times New Roman" w:hAnsi="Times New Roman" w:cs="Times New Roman"/>
                <w:sz w:val="20"/>
                <w:szCs w:val="20"/>
              </w:rPr>
            </w:pPr>
          </w:p>
        </w:tc>
        <w:tc>
          <w:tcPr>
            <w:tcW w:w="236" w:type="dxa"/>
          </w:tcPr>
          <w:p w14:paraId="08AC3EAD" w14:textId="77777777" w:rsidR="00D41C60" w:rsidRPr="008E17C8" w:rsidRDefault="00D41C60" w:rsidP="00B06E6D">
            <w:pPr>
              <w:jc w:val="both"/>
              <w:rPr>
                <w:rFonts w:ascii="Times New Roman" w:hAnsi="Times New Roman" w:cs="Times New Roman"/>
                <w:sz w:val="20"/>
                <w:szCs w:val="20"/>
              </w:rPr>
            </w:pPr>
          </w:p>
        </w:tc>
        <w:tc>
          <w:tcPr>
            <w:tcW w:w="1085" w:type="dxa"/>
            <w:shd w:val="clear" w:color="auto" w:fill="808080"/>
          </w:tcPr>
          <w:p w14:paraId="52ED22E0"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808080"/>
          </w:tcPr>
          <w:p w14:paraId="6E5FD5C5" w14:textId="77777777" w:rsidR="00D41C60" w:rsidRPr="008E17C8" w:rsidRDefault="00D41C60" w:rsidP="00B06E6D">
            <w:pPr>
              <w:jc w:val="both"/>
              <w:rPr>
                <w:rFonts w:ascii="Times New Roman" w:hAnsi="Times New Roman" w:cs="Times New Roman"/>
                <w:sz w:val="20"/>
                <w:szCs w:val="20"/>
              </w:rPr>
            </w:pPr>
          </w:p>
        </w:tc>
        <w:tc>
          <w:tcPr>
            <w:tcW w:w="425" w:type="dxa"/>
          </w:tcPr>
          <w:p w14:paraId="6D98E412"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808080"/>
          </w:tcPr>
          <w:p w14:paraId="1D7269F9" w14:textId="77777777" w:rsidR="00D41C60" w:rsidRPr="008E17C8" w:rsidRDefault="00D41C60" w:rsidP="00B06E6D">
            <w:pPr>
              <w:jc w:val="both"/>
              <w:rPr>
                <w:rFonts w:ascii="Times New Roman" w:hAnsi="Times New Roman" w:cs="Times New Roman"/>
                <w:sz w:val="20"/>
                <w:szCs w:val="20"/>
              </w:rPr>
            </w:pPr>
          </w:p>
        </w:tc>
        <w:tc>
          <w:tcPr>
            <w:tcW w:w="1276" w:type="dxa"/>
            <w:shd w:val="clear" w:color="auto" w:fill="808080"/>
          </w:tcPr>
          <w:p w14:paraId="49582A6E"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FFC000"/>
          </w:tcPr>
          <w:p w14:paraId="5660A7E9" w14:textId="77777777" w:rsidR="00D41C60" w:rsidRPr="008E17C8" w:rsidRDefault="00D41C60" w:rsidP="00B06E6D">
            <w:pPr>
              <w:jc w:val="both"/>
              <w:rPr>
                <w:rFonts w:ascii="Times New Roman" w:hAnsi="Times New Roman" w:cs="Times New Roman"/>
                <w:sz w:val="20"/>
                <w:szCs w:val="20"/>
              </w:rPr>
            </w:pPr>
          </w:p>
        </w:tc>
        <w:tc>
          <w:tcPr>
            <w:tcW w:w="1417" w:type="dxa"/>
            <w:shd w:val="clear" w:color="auto" w:fill="FFC000"/>
          </w:tcPr>
          <w:p w14:paraId="55166957" w14:textId="77777777" w:rsidR="00D41C60" w:rsidRPr="008E17C8" w:rsidRDefault="00D41C60" w:rsidP="00B06E6D">
            <w:pPr>
              <w:jc w:val="both"/>
              <w:rPr>
                <w:rFonts w:ascii="Times New Roman" w:hAnsi="Times New Roman" w:cs="Times New Roman"/>
                <w:sz w:val="20"/>
                <w:szCs w:val="20"/>
              </w:rPr>
            </w:pPr>
          </w:p>
        </w:tc>
        <w:tc>
          <w:tcPr>
            <w:tcW w:w="1593" w:type="dxa"/>
          </w:tcPr>
          <w:p w14:paraId="57D40453" w14:textId="77777777" w:rsidR="00D41C60" w:rsidRPr="008E17C8" w:rsidRDefault="00D41C60" w:rsidP="00B06E6D">
            <w:pPr>
              <w:jc w:val="both"/>
              <w:rPr>
                <w:rFonts w:ascii="Times New Roman" w:hAnsi="Times New Roman" w:cs="Times New Roman"/>
                <w:sz w:val="20"/>
                <w:szCs w:val="20"/>
              </w:rPr>
            </w:pPr>
          </w:p>
        </w:tc>
      </w:tr>
      <w:tr w:rsidR="00B06E6D" w:rsidRPr="008E17C8" w14:paraId="0C599961" w14:textId="77777777" w:rsidTr="00B06E6D">
        <w:tc>
          <w:tcPr>
            <w:tcW w:w="421" w:type="dxa"/>
          </w:tcPr>
          <w:p w14:paraId="2B789866"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6</w:t>
            </w:r>
          </w:p>
        </w:tc>
        <w:tc>
          <w:tcPr>
            <w:tcW w:w="1280" w:type="dxa"/>
          </w:tcPr>
          <w:p w14:paraId="4C7B3AD3" w14:textId="77777777" w:rsidR="00D41C60" w:rsidRPr="008E17C8" w:rsidRDefault="00D41C60" w:rsidP="00D41C60">
            <w:pPr>
              <w:pStyle w:val="Default"/>
              <w:rPr>
                <w:sz w:val="18"/>
                <w:szCs w:val="20"/>
              </w:rPr>
            </w:pPr>
            <w:r w:rsidRPr="008E17C8">
              <w:rPr>
                <w:iCs/>
                <w:sz w:val="18"/>
                <w:szCs w:val="20"/>
              </w:rPr>
              <w:t xml:space="preserve">Przedsiębiorstwa niefinansowe </w:t>
            </w:r>
          </w:p>
          <w:p w14:paraId="2E8C8C37" w14:textId="77777777" w:rsidR="00D41C60" w:rsidRPr="008E17C8" w:rsidRDefault="00D41C60" w:rsidP="00D41C60">
            <w:pPr>
              <w:rPr>
                <w:rFonts w:ascii="Times New Roman" w:hAnsi="Times New Roman" w:cs="Times New Roman"/>
                <w:sz w:val="18"/>
                <w:szCs w:val="20"/>
              </w:rPr>
            </w:pPr>
          </w:p>
        </w:tc>
        <w:tc>
          <w:tcPr>
            <w:tcW w:w="426" w:type="dxa"/>
          </w:tcPr>
          <w:p w14:paraId="60EBF278"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56C1D34A" w14:textId="77777777" w:rsidR="00D41C60" w:rsidRPr="008E17C8" w:rsidRDefault="00D41C60" w:rsidP="00B06E6D">
            <w:pPr>
              <w:jc w:val="both"/>
              <w:rPr>
                <w:rFonts w:ascii="Times New Roman" w:hAnsi="Times New Roman" w:cs="Times New Roman"/>
                <w:sz w:val="20"/>
                <w:szCs w:val="20"/>
              </w:rPr>
            </w:pPr>
          </w:p>
        </w:tc>
        <w:tc>
          <w:tcPr>
            <w:tcW w:w="709" w:type="dxa"/>
            <w:shd w:val="clear" w:color="auto" w:fill="808080"/>
          </w:tcPr>
          <w:p w14:paraId="64D394B9" w14:textId="77777777" w:rsidR="00D41C60" w:rsidRPr="008E17C8" w:rsidRDefault="00D41C60" w:rsidP="00B06E6D">
            <w:pPr>
              <w:jc w:val="both"/>
              <w:rPr>
                <w:rFonts w:ascii="Times New Roman" w:hAnsi="Times New Roman" w:cs="Times New Roman"/>
                <w:sz w:val="20"/>
                <w:szCs w:val="20"/>
              </w:rPr>
            </w:pPr>
          </w:p>
        </w:tc>
        <w:tc>
          <w:tcPr>
            <w:tcW w:w="284" w:type="dxa"/>
          </w:tcPr>
          <w:p w14:paraId="23FD6B0E"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4C00B680" w14:textId="77777777" w:rsidR="00D41C60" w:rsidRPr="008E17C8" w:rsidRDefault="00D41C60" w:rsidP="00B06E6D">
            <w:pPr>
              <w:jc w:val="both"/>
              <w:rPr>
                <w:rFonts w:ascii="Times New Roman" w:hAnsi="Times New Roman" w:cs="Times New Roman"/>
                <w:sz w:val="20"/>
                <w:szCs w:val="20"/>
              </w:rPr>
            </w:pPr>
          </w:p>
        </w:tc>
        <w:tc>
          <w:tcPr>
            <w:tcW w:w="806" w:type="dxa"/>
            <w:shd w:val="clear" w:color="auto" w:fill="808080"/>
          </w:tcPr>
          <w:p w14:paraId="5266321A" w14:textId="77777777" w:rsidR="00D41C60" w:rsidRPr="008E17C8" w:rsidRDefault="00D41C60" w:rsidP="00B06E6D">
            <w:pPr>
              <w:jc w:val="both"/>
              <w:rPr>
                <w:rFonts w:ascii="Times New Roman" w:hAnsi="Times New Roman" w:cs="Times New Roman"/>
                <w:sz w:val="20"/>
                <w:szCs w:val="20"/>
              </w:rPr>
            </w:pPr>
          </w:p>
        </w:tc>
        <w:tc>
          <w:tcPr>
            <w:tcW w:w="236" w:type="dxa"/>
          </w:tcPr>
          <w:p w14:paraId="359CF4F9" w14:textId="77777777" w:rsidR="00D41C60" w:rsidRPr="008E17C8" w:rsidRDefault="00D41C60" w:rsidP="00B06E6D">
            <w:pPr>
              <w:jc w:val="both"/>
              <w:rPr>
                <w:rFonts w:ascii="Times New Roman" w:hAnsi="Times New Roman" w:cs="Times New Roman"/>
                <w:sz w:val="20"/>
                <w:szCs w:val="20"/>
              </w:rPr>
            </w:pPr>
          </w:p>
        </w:tc>
        <w:tc>
          <w:tcPr>
            <w:tcW w:w="1085" w:type="dxa"/>
            <w:shd w:val="clear" w:color="auto" w:fill="808080"/>
          </w:tcPr>
          <w:p w14:paraId="616ED304"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808080"/>
          </w:tcPr>
          <w:p w14:paraId="73A22321" w14:textId="77777777" w:rsidR="00D41C60" w:rsidRPr="008E17C8" w:rsidRDefault="00D41C60" w:rsidP="00B06E6D">
            <w:pPr>
              <w:jc w:val="both"/>
              <w:rPr>
                <w:rFonts w:ascii="Times New Roman" w:hAnsi="Times New Roman" w:cs="Times New Roman"/>
                <w:sz w:val="20"/>
                <w:szCs w:val="20"/>
              </w:rPr>
            </w:pPr>
          </w:p>
        </w:tc>
        <w:tc>
          <w:tcPr>
            <w:tcW w:w="425" w:type="dxa"/>
          </w:tcPr>
          <w:p w14:paraId="2E2AB1A9"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808080"/>
          </w:tcPr>
          <w:p w14:paraId="36EE5FDC" w14:textId="77777777" w:rsidR="00D41C60" w:rsidRPr="008E17C8" w:rsidRDefault="00D41C60" w:rsidP="00B06E6D">
            <w:pPr>
              <w:jc w:val="both"/>
              <w:rPr>
                <w:rFonts w:ascii="Times New Roman" w:hAnsi="Times New Roman" w:cs="Times New Roman"/>
                <w:sz w:val="20"/>
                <w:szCs w:val="20"/>
              </w:rPr>
            </w:pPr>
          </w:p>
        </w:tc>
        <w:tc>
          <w:tcPr>
            <w:tcW w:w="1276" w:type="dxa"/>
            <w:shd w:val="clear" w:color="auto" w:fill="808080"/>
          </w:tcPr>
          <w:p w14:paraId="71E04EFD"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FFC000"/>
          </w:tcPr>
          <w:p w14:paraId="45433878" w14:textId="77777777" w:rsidR="00D41C60" w:rsidRPr="008E17C8" w:rsidRDefault="00D41C60" w:rsidP="00B06E6D">
            <w:pPr>
              <w:jc w:val="both"/>
              <w:rPr>
                <w:rFonts w:ascii="Times New Roman" w:hAnsi="Times New Roman" w:cs="Times New Roman"/>
                <w:sz w:val="20"/>
                <w:szCs w:val="20"/>
              </w:rPr>
            </w:pPr>
          </w:p>
        </w:tc>
        <w:tc>
          <w:tcPr>
            <w:tcW w:w="1417" w:type="dxa"/>
            <w:shd w:val="clear" w:color="auto" w:fill="FFC000"/>
          </w:tcPr>
          <w:p w14:paraId="3EDA3779" w14:textId="77777777" w:rsidR="00D41C60" w:rsidRPr="008E17C8" w:rsidRDefault="00D41C60" w:rsidP="00B06E6D">
            <w:pPr>
              <w:jc w:val="both"/>
              <w:rPr>
                <w:rFonts w:ascii="Times New Roman" w:hAnsi="Times New Roman" w:cs="Times New Roman"/>
                <w:sz w:val="20"/>
                <w:szCs w:val="20"/>
              </w:rPr>
            </w:pPr>
          </w:p>
        </w:tc>
        <w:tc>
          <w:tcPr>
            <w:tcW w:w="1593" w:type="dxa"/>
          </w:tcPr>
          <w:p w14:paraId="548EFBAA" w14:textId="77777777" w:rsidR="00D41C60" w:rsidRPr="008E17C8" w:rsidRDefault="00D41C60" w:rsidP="00B06E6D">
            <w:pPr>
              <w:jc w:val="both"/>
              <w:rPr>
                <w:rFonts w:ascii="Times New Roman" w:hAnsi="Times New Roman" w:cs="Times New Roman"/>
                <w:sz w:val="20"/>
                <w:szCs w:val="20"/>
              </w:rPr>
            </w:pPr>
          </w:p>
        </w:tc>
      </w:tr>
      <w:tr w:rsidR="00B06E6D" w:rsidRPr="008E17C8" w14:paraId="7430FA59" w14:textId="77777777" w:rsidTr="00B06E6D">
        <w:tc>
          <w:tcPr>
            <w:tcW w:w="421" w:type="dxa"/>
          </w:tcPr>
          <w:p w14:paraId="645DD1F0"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7</w:t>
            </w:r>
          </w:p>
        </w:tc>
        <w:tc>
          <w:tcPr>
            <w:tcW w:w="1280" w:type="dxa"/>
          </w:tcPr>
          <w:p w14:paraId="7E4BCAC3" w14:textId="77777777" w:rsidR="00D41C60" w:rsidRPr="008E17C8" w:rsidRDefault="00D41C60" w:rsidP="00D41C60">
            <w:pPr>
              <w:pStyle w:val="Default"/>
              <w:rPr>
                <w:sz w:val="18"/>
                <w:szCs w:val="20"/>
              </w:rPr>
            </w:pPr>
            <w:r w:rsidRPr="008E17C8">
              <w:rPr>
                <w:iCs/>
                <w:sz w:val="18"/>
                <w:szCs w:val="20"/>
              </w:rPr>
              <w:t xml:space="preserve">W tym MŚP </w:t>
            </w:r>
          </w:p>
          <w:p w14:paraId="3CAE8E3B" w14:textId="77777777" w:rsidR="00D41C60" w:rsidRPr="008E17C8" w:rsidRDefault="00D41C60" w:rsidP="00D41C60">
            <w:pPr>
              <w:rPr>
                <w:rFonts w:ascii="Times New Roman" w:hAnsi="Times New Roman" w:cs="Times New Roman"/>
                <w:sz w:val="18"/>
                <w:szCs w:val="20"/>
              </w:rPr>
            </w:pPr>
          </w:p>
        </w:tc>
        <w:tc>
          <w:tcPr>
            <w:tcW w:w="426" w:type="dxa"/>
          </w:tcPr>
          <w:p w14:paraId="0F933CC9"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1E8FAC36" w14:textId="77777777" w:rsidR="00D41C60" w:rsidRPr="008E17C8" w:rsidRDefault="00D41C60" w:rsidP="00B06E6D">
            <w:pPr>
              <w:jc w:val="both"/>
              <w:rPr>
                <w:rFonts w:ascii="Times New Roman" w:hAnsi="Times New Roman" w:cs="Times New Roman"/>
                <w:sz w:val="20"/>
                <w:szCs w:val="20"/>
              </w:rPr>
            </w:pPr>
          </w:p>
        </w:tc>
        <w:tc>
          <w:tcPr>
            <w:tcW w:w="709" w:type="dxa"/>
            <w:shd w:val="clear" w:color="auto" w:fill="808080"/>
          </w:tcPr>
          <w:p w14:paraId="08CE4825" w14:textId="77777777" w:rsidR="00D41C60" w:rsidRPr="008E17C8" w:rsidRDefault="00D41C60" w:rsidP="00B06E6D">
            <w:pPr>
              <w:jc w:val="both"/>
              <w:rPr>
                <w:rFonts w:ascii="Times New Roman" w:hAnsi="Times New Roman" w:cs="Times New Roman"/>
                <w:sz w:val="20"/>
                <w:szCs w:val="20"/>
              </w:rPr>
            </w:pPr>
          </w:p>
        </w:tc>
        <w:tc>
          <w:tcPr>
            <w:tcW w:w="284" w:type="dxa"/>
          </w:tcPr>
          <w:p w14:paraId="6CB27394"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1508E131" w14:textId="77777777" w:rsidR="00D41C60" w:rsidRPr="008E17C8" w:rsidRDefault="00D41C60" w:rsidP="00B06E6D">
            <w:pPr>
              <w:jc w:val="both"/>
              <w:rPr>
                <w:rFonts w:ascii="Times New Roman" w:hAnsi="Times New Roman" w:cs="Times New Roman"/>
                <w:sz w:val="20"/>
                <w:szCs w:val="20"/>
              </w:rPr>
            </w:pPr>
          </w:p>
        </w:tc>
        <w:tc>
          <w:tcPr>
            <w:tcW w:w="806" w:type="dxa"/>
            <w:shd w:val="clear" w:color="auto" w:fill="808080"/>
          </w:tcPr>
          <w:p w14:paraId="10B3C1FC" w14:textId="77777777" w:rsidR="00D41C60" w:rsidRPr="008E17C8" w:rsidRDefault="00D41C60" w:rsidP="00B06E6D">
            <w:pPr>
              <w:jc w:val="both"/>
              <w:rPr>
                <w:rFonts w:ascii="Times New Roman" w:hAnsi="Times New Roman" w:cs="Times New Roman"/>
                <w:sz w:val="20"/>
                <w:szCs w:val="20"/>
              </w:rPr>
            </w:pPr>
          </w:p>
        </w:tc>
        <w:tc>
          <w:tcPr>
            <w:tcW w:w="236" w:type="dxa"/>
          </w:tcPr>
          <w:p w14:paraId="5B25A854" w14:textId="77777777" w:rsidR="00D41C60" w:rsidRPr="008E17C8" w:rsidRDefault="00D41C60" w:rsidP="00B06E6D">
            <w:pPr>
              <w:jc w:val="both"/>
              <w:rPr>
                <w:rFonts w:ascii="Times New Roman" w:hAnsi="Times New Roman" w:cs="Times New Roman"/>
                <w:sz w:val="20"/>
                <w:szCs w:val="20"/>
              </w:rPr>
            </w:pPr>
          </w:p>
        </w:tc>
        <w:tc>
          <w:tcPr>
            <w:tcW w:w="1085" w:type="dxa"/>
            <w:shd w:val="clear" w:color="auto" w:fill="808080"/>
          </w:tcPr>
          <w:p w14:paraId="4EB778CE"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808080"/>
          </w:tcPr>
          <w:p w14:paraId="6FA24BF4" w14:textId="77777777" w:rsidR="00D41C60" w:rsidRPr="008E17C8" w:rsidRDefault="00D41C60" w:rsidP="00B06E6D">
            <w:pPr>
              <w:jc w:val="both"/>
              <w:rPr>
                <w:rFonts w:ascii="Times New Roman" w:hAnsi="Times New Roman" w:cs="Times New Roman"/>
                <w:sz w:val="20"/>
                <w:szCs w:val="20"/>
              </w:rPr>
            </w:pPr>
          </w:p>
        </w:tc>
        <w:tc>
          <w:tcPr>
            <w:tcW w:w="425" w:type="dxa"/>
          </w:tcPr>
          <w:p w14:paraId="4048B6AB"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808080"/>
          </w:tcPr>
          <w:p w14:paraId="40948EAB" w14:textId="77777777" w:rsidR="00D41C60" w:rsidRPr="008E17C8" w:rsidRDefault="00D41C60" w:rsidP="00B06E6D">
            <w:pPr>
              <w:jc w:val="both"/>
              <w:rPr>
                <w:rFonts w:ascii="Times New Roman" w:hAnsi="Times New Roman" w:cs="Times New Roman"/>
                <w:sz w:val="20"/>
                <w:szCs w:val="20"/>
              </w:rPr>
            </w:pPr>
          </w:p>
        </w:tc>
        <w:tc>
          <w:tcPr>
            <w:tcW w:w="1276" w:type="dxa"/>
            <w:shd w:val="clear" w:color="auto" w:fill="808080"/>
          </w:tcPr>
          <w:p w14:paraId="1E321A14"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FFC000"/>
          </w:tcPr>
          <w:p w14:paraId="031F3096" w14:textId="77777777" w:rsidR="00D41C60" w:rsidRPr="008E17C8" w:rsidRDefault="00D41C60" w:rsidP="00B06E6D">
            <w:pPr>
              <w:jc w:val="both"/>
              <w:rPr>
                <w:rFonts w:ascii="Times New Roman" w:hAnsi="Times New Roman" w:cs="Times New Roman"/>
                <w:sz w:val="20"/>
                <w:szCs w:val="20"/>
              </w:rPr>
            </w:pPr>
          </w:p>
        </w:tc>
        <w:tc>
          <w:tcPr>
            <w:tcW w:w="1417" w:type="dxa"/>
            <w:shd w:val="clear" w:color="auto" w:fill="FFC000"/>
          </w:tcPr>
          <w:p w14:paraId="5E978A43" w14:textId="77777777" w:rsidR="00D41C60" w:rsidRPr="008E17C8" w:rsidRDefault="00D41C60" w:rsidP="00B06E6D">
            <w:pPr>
              <w:jc w:val="both"/>
              <w:rPr>
                <w:rFonts w:ascii="Times New Roman" w:hAnsi="Times New Roman" w:cs="Times New Roman"/>
                <w:sz w:val="20"/>
                <w:szCs w:val="20"/>
              </w:rPr>
            </w:pPr>
          </w:p>
        </w:tc>
        <w:tc>
          <w:tcPr>
            <w:tcW w:w="1593" w:type="dxa"/>
          </w:tcPr>
          <w:p w14:paraId="76A006C7" w14:textId="77777777" w:rsidR="00D41C60" w:rsidRPr="008E17C8" w:rsidRDefault="00D41C60" w:rsidP="00B06E6D">
            <w:pPr>
              <w:jc w:val="both"/>
              <w:rPr>
                <w:rFonts w:ascii="Times New Roman" w:hAnsi="Times New Roman" w:cs="Times New Roman"/>
                <w:sz w:val="20"/>
                <w:szCs w:val="20"/>
              </w:rPr>
            </w:pPr>
          </w:p>
        </w:tc>
      </w:tr>
      <w:tr w:rsidR="00B06E6D" w:rsidRPr="008E17C8" w14:paraId="3DBBB2C6" w14:textId="77777777" w:rsidTr="00B06E6D">
        <w:tc>
          <w:tcPr>
            <w:tcW w:w="421" w:type="dxa"/>
          </w:tcPr>
          <w:p w14:paraId="1601247E"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8</w:t>
            </w:r>
          </w:p>
        </w:tc>
        <w:tc>
          <w:tcPr>
            <w:tcW w:w="1280" w:type="dxa"/>
          </w:tcPr>
          <w:p w14:paraId="44E1A880" w14:textId="77777777" w:rsidR="00D41C60" w:rsidRPr="008E17C8" w:rsidRDefault="00D41C60" w:rsidP="00D41C60">
            <w:pPr>
              <w:pStyle w:val="Default"/>
              <w:rPr>
                <w:sz w:val="18"/>
                <w:szCs w:val="20"/>
              </w:rPr>
            </w:pPr>
            <w:r w:rsidRPr="008E17C8">
              <w:rPr>
                <w:iCs/>
                <w:sz w:val="18"/>
                <w:szCs w:val="20"/>
              </w:rPr>
              <w:t xml:space="preserve">Gospodarstwa domowe </w:t>
            </w:r>
          </w:p>
          <w:p w14:paraId="200A0F38" w14:textId="77777777" w:rsidR="00D41C60" w:rsidRPr="008E17C8" w:rsidRDefault="00D41C60" w:rsidP="00D41C60">
            <w:pPr>
              <w:rPr>
                <w:rFonts w:ascii="Times New Roman" w:hAnsi="Times New Roman" w:cs="Times New Roman"/>
                <w:sz w:val="18"/>
                <w:szCs w:val="20"/>
              </w:rPr>
            </w:pPr>
          </w:p>
        </w:tc>
        <w:tc>
          <w:tcPr>
            <w:tcW w:w="426" w:type="dxa"/>
          </w:tcPr>
          <w:p w14:paraId="3CF68D38"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599467D2" w14:textId="77777777" w:rsidR="00D41C60" w:rsidRPr="008E17C8" w:rsidRDefault="00D41C60" w:rsidP="00B06E6D">
            <w:pPr>
              <w:jc w:val="both"/>
              <w:rPr>
                <w:rFonts w:ascii="Times New Roman" w:hAnsi="Times New Roman" w:cs="Times New Roman"/>
                <w:sz w:val="20"/>
                <w:szCs w:val="20"/>
              </w:rPr>
            </w:pPr>
          </w:p>
        </w:tc>
        <w:tc>
          <w:tcPr>
            <w:tcW w:w="709" w:type="dxa"/>
            <w:shd w:val="clear" w:color="auto" w:fill="808080"/>
          </w:tcPr>
          <w:p w14:paraId="2D5FD242" w14:textId="77777777" w:rsidR="00D41C60" w:rsidRPr="008E17C8" w:rsidRDefault="00D41C60" w:rsidP="00B06E6D">
            <w:pPr>
              <w:jc w:val="both"/>
              <w:rPr>
                <w:rFonts w:ascii="Times New Roman" w:hAnsi="Times New Roman" w:cs="Times New Roman"/>
                <w:sz w:val="20"/>
                <w:szCs w:val="20"/>
              </w:rPr>
            </w:pPr>
          </w:p>
        </w:tc>
        <w:tc>
          <w:tcPr>
            <w:tcW w:w="284" w:type="dxa"/>
          </w:tcPr>
          <w:p w14:paraId="50120831"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5ED10DF3" w14:textId="77777777" w:rsidR="00D41C60" w:rsidRPr="008E17C8" w:rsidRDefault="00D41C60" w:rsidP="00B06E6D">
            <w:pPr>
              <w:jc w:val="both"/>
              <w:rPr>
                <w:rFonts w:ascii="Times New Roman" w:hAnsi="Times New Roman" w:cs="Times New Roman"/>
                <w:sz w:val="20"/>
                <w:szCs w:val="20"/>
              </w:rPr>
            </w:pPr>
          </w:p>
        </w:tc>
        <w:tc>
          <w:tcPr>
            <w:tcW w:w="806" w:type="dxa"/>
            <w:shd w:val="clear" w:color="auto" w:fill="808080"/>
          </w:tcPr>
          <w:p w14:paraId="15110E6E" w14:textId="77777777" w:rsidR="00D41C60" w:rsidRPr="008E17C8" w:rsidRDefault="00D41C60" w:rsidP="00B06E6D">
            <w:pPr>
              <w:jc w:val="both"/>
              <w:rPr>
                <w:rFonts w:ascii="Times New Roman" w:hAnsi="Times New Roman" w:cs="Times New Roman"/>
                <w:sz w:val="20"/>
                <w:szCs w:val="20"/>
              </w:rPr>
            </w:pPr>
          </w:p>
        </w:tc>
        <w:tc>
          <w:tcPr>
            <w:tcW w:w="236" w:type="dxa"/>
          </w:tcPr>
          <w:p w14:paraId="4A633BB2" w14:textId="77777777" w:rsidR="00D41C60" w:rsidRPr="008E17C8" w:rsidRDefault="00D41C60" w:rsidP="00B06E6D">
            <w:pPr>
              <w:jc w:val="both"/>
              <w:rPr>
                <w:rFonts w:ascii="Times New Roman" w:hAnsi="Times New Roman" w:cs="Times New Roman"/>
                <w:sz w:val="20"/>
                <w:szCs w:val="20"/>
              </w:rPr>
            </w:pPr>
          </w:p>
        </w:tc>
        <w:tc>
          <w:tcPr>
            <w:tcW w:w="1085" w:type="dxa"/>
            <w:shd w:val="clear" w:color="auto" w:fill="808080"/>
          </w:tcPr>
          <w:p w14:paraId="5BF5FC2C"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808080"/>
          </w:tcPr>
          <w:p w14:paraId="06D7FC07" w14:textId="77777777" w:rsidR="00D41C60" w:rsidRPr="008E17C8" w:rsidRDefault="00D41C60" w:rsidP="00B06E6D">
            <w:pPr>
              <w:jc w:val="both"/>
              <w:rPr>
                <w:rFonts w:ascii="Times New Roman" w:hAnsi="Times New Roman" w:cs="Times New Roman"/>
                <w:sz w:val="20"/>
                <w:szCs w:val="20"/>
              </w:rPr>
            </w:pPr>
          </w:p>
        </w:tc>
        <w:tc>
          <w:tcPr>
            <w:tcW w:w="425" w:type="dxa"/>
          </w:tcPr>
          <w:p w14:paraId="26EC5C6E"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808080"/>
          </w:tcPr>
          <w:p w14:paraId="54A2B12A" w14:textId="77777777" w:rsidR="00D41C60" w:rsidRPr="008E17C8" w:rsidRDefault="00D41C60" w:rsidP="00B06E6D">
            <w:pPr>
              <w:jc w:val="both"/>
              <w:rPr>
                <w:rFonts w:ascii="Times New Roman" w:hAnsi="Times New Roman" w:cs="Times New Roman"/>
                <w:sz w:val="20"/>
                <w:szCs w:val="20"/>
              </w:rPr>
            </w:pPr>
          </w:p>
        </w:tc>
        <w:tc>
          <w:tcPr>
            <w:tcW w:w="1276" w:type="dxa"/>
            <w:shd w:val="clear" w:color="auto" w:fill="808080"/>
          </w:tcPr>
          <w:p w14:paraId="007383DC"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FFC000"/>
          </w:tcPr>
          <w:p w14:paraId="6A963C1A" w14:textId="77777777" w:rsidR="00D41C60" w:rsidRPr="008E17C8" w:rsidRDefault="00D41C60" w:rsidP="00B06E6D">
            <w:pPr>
              <w:jc w:val="both"/>
              <w:rPr>
                <w:rFonts w:ascii="Times New Roman" w:hAnsi="Times New Roman" w:cs="Times New Roman"/>
                <w:sz w:val="20"/>
                <w:szCs w:val="20"/>
              </w:rPr>
            </w:pPr>
          </w:p>
        </w:tc>
        <w:tc>
          <w:tcPr>
            <w:tcW w:w="1417" w:type="dxa"/>
            <w:shd w:val="clear" w:color="auto" w:fill="FFC000"/>
          </w:tcPr>
          <w:p w14:paraId="208C9F98" w14:textId="77777777" w:rsidR="00D41C60" w:rsidRPr="008E17C8" w:rsidRDefault="00D41C60" w:rsidP="00B06E6D">
            <w:pPr>
              <w:jc w:val="both"/>
              <w:rPr>
                <w:rFonts w:ascii="Times New Roman" w:hAnsi="Times New Roman" w:cs="Times New Roman"/>
                <w:sz w:val="20"/>
                <w:szCs w:val="20"/>
              </w:rPr>
            </w:pPr>
          </w:p>
        </w:tc>
        <w:tc>
          <w:tcPr>
            <w:tcW w:w="1593" w:type="dxa"/>
          </w:tcPr>
          <w:p w14:paraId="4DD3499C" w14:textId="77777777" w:rsidR="00D41C60" w:rsidRPr="008E17C8" w:rsidRDefault="00D41C60" w:rsidP="00B06E6D">
            <w:pPr>
              <w:jc w:val="both"/>
              <w:rPr>
                <w:rFonts w:ascii="Times New Roman" w:hAnsi="Times New Roman" w:cs="Times New Roman"/>
                <w:sz w:val="20"/>
                <w:szCs w:val="20"/>
              </w:rPr>
            </w:pPr>
          </w:p>
        </w:tc>
      </w:tr>
      <w:tr w:rsidR="00B06E6D" w:rsidRPr="008E17C8" w14:paraId="3287629F" w14:textId="77777777" w:rsidTr="00B06E6D">
        <w:tc>
          <w:tcPr>
            <w:tcW w:w="421" w:type="dxa"/>
          </w:tcPr>
          <w:p w14:paraId="64C62C3F"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9</w:t>
            </w:r>
          </w:p>
        </w:tc>
        <w:tc>
          <w:tcPr>
            <w:tcW w:w="1280" w:type="dxa"/>
          </w:tcPr>
          <w:p w14:paraId="219C5052" w14:textId="77777777" w:rsidR="00D41C60" w:rsidRPr="008E17C8" w:rsidRDefault="00D41C60" w:rsidP="00D41C60">
            <w:pPr>
              <w:rPr>
                <w:rFonts w:ascii="Times New Roman" w:hAnsi="Times New Roman" w:cs="Times New Roman"/>
                <w:sz w:val="18"/>
                <w:szCs w:val="20"/>
              </w:rPr>
            </w:pPr>
            <w:r w:rsidRPr="008E17C8">
              <w:rPr>
                <w:rFonts w:ascii="Times New Roman" w:hAnsi="Times New Roman" w:cs="Times New Roman"/>
                <w:sz w:val="18"/>
                <w:szCs w:val="20"/>
              </w:rPr>
              <w:t xml:space="preserve">Dłużne </w:t>
            </w:r>
            <w:r w:rsidRPr="008E17C8">
              <w:rPr>
                <w:rFonts w:ascii="Times New Roman" w:hAnsi="Times New Roman" w:cs="Times New Roman"/>
                <w:sz w:val="18"/>
                <w:szCs w:val="20"/>
              </w:rPr>
              <w:lastRenderedPageBreak/>
              <w:t>papiery wartościowe</w:t>
            </w:r>
          </w:p>
        </w:tc>
        <w:tc>
          <w:tcPr>
            <w:tcW w:w="426" w:type="dxa"/>
          </w:tcPr>
          <w:p w14:paraId="04C20EB1"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23BA58EB" w14:textId="77777777" w:rsidR="00D41C60" w:rsidRPr="008E17C8" w:rsidRDefault="00D41C60" w:rsidP="00B06E6D">
            <w:pPr>
              <w:jc w:val="both"/>
              <w:rPr>
                <w:rFonts w:ascii="Times New Roman" w:hAnsi="Times New Roman" w:cs="Times New Roman"/>
                <w:sz w:val="20"/>
                <w:szCs w:val="20"/>
              </w:rPr>
            </w:pPr>
          </w:p>
        </w:tc>
        <w:tc>
          <w:tcPr>
            <w:tcW w:w="709" w:type="dxa"/>
            <w:shd w:val="clear" w:color="auto" w:fill="808080"/>
          </w:tcPr>
          <w:p w14:paraId="3EF20730" w14:textId="77777777" w:rsidR="00D41C60" w:rsidRPr="008E17C8" w:rsidRDefault="00D41C60" w:rsidP="00B06E6D">
            <w:pPr>
              <w:jc w:val="both"/>
              <w:rPr>
                <w:rFonts w:ascii="Times New Roman" w:hAnsi="Times New Roman" w:cs="Times New Roman"/>
                <w:sz w:val="20"/>
                <w:szCs w:val="20"/>
              </w:rPr>
            </w:pPr>
          </w:p>
        </w:tc>
        <w:tc>
          <w:tcPr>
            <w:tcW w:w="284" w:type="dxa"/>
          </w:tcPr>
          <w:p w14:paraId="660A91C7"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3E877B3A" w14:textId="77777777" w:rsidR="00D41C60" w:rsidRPr="008E17C8" w:rsidRDefault="00D41C60" w:rsidP="00B06E6D">
            <w:pPr>
              <w:jc w:val="both"/>
              <w:rPr>
                <w:rFonts w:ascii="Times New Roman" w:hAnsi="Times New Roman" w:cs="Times New Roman"/>
                <w:sz w:val="20"/>
                <w:szCs w:val="20"/>
              </w:rPr>
            </w:pPr>
          </w:p>
        </w:tc>
        <w:tc>
          <w:tcPr>
            <w:tcW w:w="806" w:type="dxa"/>
            <w:shd w:val="clear" w:color="auto" w:fill="808080"/>
          </w:tcPr>
          <w:p w14:paraId="6E8F242D" w14:textId="77777777" w:rsidR="00D41C60" w:rsidRPr="008E17C8" w:rsidRDefault="00D41C60" w:rsidP="00B06E6D">
            <w:pPr>
              <w:jc w:val="both"/>
              <w:rPr>
                <w:rFonts w:ascii="Times New Roman" w:hAnsi="Times New Roman" w:cs="Times New Roman"/>
                <w:sz w:val="20"/>
                <w:szCs w:val="20"/>
              </w:rPr>
            </w:pPr>
          </w:p>
        </w:tc>
        <w:tc>
          <w:tcPr>
            <w:tcW w:w="236" w:type="dxa"/>
          </w:tcPr>
          <w:p w14:paraId="046BD6D3" w14:textId="77777777" w:rsidR="00D41C60" w:rsidRPr="008E17C8" w:rsidRDefault="00D41C60" w:rsidP="00B06E6D">
            <w:pPr>
              <w:jc w:val="both"/>
              <w:rPr>
                <w:rFonts w:ascii="Times New Roman" w:hAnsi="Times New Roman" w:cs="Times New Roman"/>
                <w:sz w:val="20"/>
                <w:szCs w:val="20"/>
              </w:rPr>
            </w:pPr>
          </w:p>
        </w:tc>
        <w:tc>
          <w:tcPr>
            <w:tcW w:w="1085" w:type="dxa"/>
            <w:shd w:val="clear" w:color="auto" w:fill="808080"/>
          </w:tcPr>
          <w:p w14:paraId="381D1586"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808080"/>
          </w:tcPr>
          <w:p w14:paraId="4ECF8A59" w14:textId="77777777" w:rsidR="00D41C60" w:rsidRPr="008E17C8" w:rsidRDefault="00D41C60" w:rsidP="00B06E6D">
            <w:pPr>
              <w:jc w:val="both"/>
              <w:rPr>
                <w:rFonts w:ascii="Times New Roman" w:hAnsi="Times New Roman" w:cs="Times New Roman"/>
                <w:sz w:val="20"/>
                <w:szCs w:val="20"/>
              </w:rPr>
            </w:pPr>
          </w:p>
        </w:tc>
        <w:tc>
          <w:tcPr>
            <w:tcW w:w="425" w:type="dxa"/>
          </w:tcPr>
          <w:p w14:paraId="0AFB5BEA"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808080"/>
          </w:tcPr>
          <w:p w14:paraId="6801E2D7" w14:textId="77777777" w:rsidR="00D41C60" w:rsidRPr="008E17C8" w:rsidRDefault="00D41C60" w:rsidP="00B06E6D">
            <w:pPr>
              <w:jc w:val="both"/>
              <w:rPr>
                <w:rFonts w:ascii="Times New Roman" w:hAnsi="Times New Roman" w:cs="Times New Roman"/>
                <w:sz w:val="20"/>
                <w:szCs w:val="20"/>
              </w:rPr>
            </w:pPr>
          </w:p>
        </w:tc>
        <w:tc>
          <w:tcPr>
            <w:tcW w:w="1276" w:type="dxa"/>
            <w:shd w:val="clear" w:color="auto" w:fill="808080"/>
          </w:tcPr>
          <w:p w14:paraId="2B685335"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FFC000"/>
          </w:tcPr>
          <w:p w14:paraId="5C4CF0D1" w14:textId="77777777" w:rsidR="00D41C60" w:rsidRPr="008E17C8" w:rsidRDefault="00D41C60" w:rsidP="00B06E6D">
            <w:pPr>
              <w:jc w:val="both"/>
              <w:rPr>
                <w:rFonts w:ascii="Times New Roman" w:hAnsi="Times New Roman" w:cs="Times New Roman"/>
                <w:sz w:val="20"/>
                <w:szCs w:val="20"/>
              </w:rPr>
            </w:pPr>
          </w:p>
        </w:tc>
        <w:tc>
          <w:tcPr>
            <w:tcW w:w="1417" w:type="dxa"/>
            <w:shd w:val="clear" w:color="auto" w:fill="FFC000"/>
          </w:tcPr>
          <w:p w14:paraId="0EBF7698" w14:textId="77777777" w:rsidR="00D41C60" w:rsidRPr="008E17C8" w:rsidRDefault="00D41C60" w:rsidP="00B06E6D">
            <w:pPr>
              <w:jc w:val="both"/>
              <w:rPr>
                <w:rFonts w:ascii="Times New Roman" w:hAnsi="Times New Roman" w:cs="Times New Roman"/>
                <w:sz w:val="20"/>
                <w:szCs w:val="20"/>
              </w:rPr>
            </w:pPr>
          </w:p>
        </w:tc>
        <w:tc>
          <w:tcPr>
            <w:tcW w:w="1593" w:type="dxa"/>
          </w:tcPr>
          <w:p w14:paraId="62355193" w14:textId="77777777" w:rsidR="00D41C60" w:rsidRPr="008E17C8" w:rsidRDefault="00D41C60" w:rsidP="00B06E6D">
            <w:pPr>
              <w:jc w:val="both"/>
              <w:rPr>
                <w:rFonts w:ascii="Times New Roman" w:hAnsi="Times New Roman" w:cs="Times New Roman"/>
                <w:sz w:val="20"/>
                <w:szCs w:val="20"/>
              </w:rPr>
            </w:pPr>
          </w:p>
        </w:tc>
      </w:tr>
      <w:tr w:rsidR="00B06E6D" w:rsidRPr="008E17C8" w14:paraId="1D5926EC" w14:textId="77777777" w:rsidTr="00B06E6D">
        <w:tc>
          <w:tcPr>
            <w:tcW w:w="421" w:type="dxa"/>
          </w:tcPr>
          <w:p w14:paraId="0EDF4F06"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lastRenderedPageBreak/>
              <w:t>10</w:t>
            </w:r>
          </w:p>
        </w:tc>
        <w:tc>
          <w:tcPr>
            <w:tcW w:w="1280" w:type="dxa"/>
          </w:tcPr>
          <w:p w14:paraId="27E743D1" w14:textId="77777777" w:rsidR="00D41C60" w:rsidRPr="008E17C8" w:rsidRDefault="00D41C60" w:rsidP="00D41C60">
            <w:pPr>
              <w:pStyle w:val="Default"/>
              <w:rPr>
                <w:sz w:val="18"/>
                <w:szCs w:val="20"/>
              </w:rPr>
            </w:pPr>
            <w:r w:rsidRPr="008E17C8">
              <w:rPr>
                <w:iCs/>
                <w:sz w:val="18"/>
                <w:szCs w:val="20"/>
              </w:rPr>
              <w:t xml:space="preserve">Banki centralne </w:t>
            </w:r>
          </w:p>
          <w:p w14:paraId="6E2169F6" w14:textId="77777777" w:rsidR="00D41C60" w:rsidRPr="008E17C8" w:rsidRDefault="00D41C60" w:rsidP="00D41C60">
            <w:pPr>
              <w:rPr>
                <w:rFonts w:ascii="Times New Roman" w:hAnsi="Times New Roman" w:cs="Times New Roman"/>
                <w:sz w:val="18"/>
                <w:szCs w:val="20"/>
              </w:rPr>
            </w:pPr>
          </w:p>
        </w:tc>
        <w:tc>
          <w:tcPr>
            <w:tcW w:w="426" w:type="dxa"/>
          </w:tcPr>
          <w:p w14:paraId="12EAF5AF"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5AE00307" w14:textId="77777777" w:rsidR="00D41C60" w:rsidRPr="008E17C8" w:rsidRDefault="00D41C60" w:rsidP="00B06E6D">
            <w:pPr>
              <w:jc w:val="both"/>
              <w:rPr>
                <w:rFonts w:ascii="Times New Roman" w:hAnsi="Times New Roman" w:cs="Times New Roman"/>
                <w:sz w:val="20"/>
                <w:szCs w:val="20"/>
              </w:rPr>
            </w:pPr>
          </w:p>
        </w:tc>
        <w:tc>
          <w:tcPr>
            <w:tcW w:w="709" w:type="dxa"/>
            <w:shd w:val="clear" w:color="auto" w:fill="808080"/>
          </w:tcPr>
          <w:p w14:paraId="5EE1162F" w14:textId="77777777" w:rsidR="00D41C60" w:rsidRPr="008E17C8" w:rsidRDefault="00D41C60" w:rsidP="00B06E6D">
            <w:pPr>
              <w:jc w:val="both"/>
              <w:rPr>
                <w:rFonts w:ascii="Times New Roman" w:hAnsi="Times New Roman" w:cs="Times New Roman"/>
                <w:sz w:val="20"/>
                <w:szCs w:val="20"/>
              </w:rPr>
            </w:pPr>
          </w:p>
        </w:tc>
        <w:tc>
          <w:tcPr>
            <w:tcW w:w="284" w:type="dxa"/>
          </w:tcPr>
          <w:p w14:paraId="7C1CDF77"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7AB5C2A0" w14:textId="77777777" w:rsidR="00D41C60" w:rsidRPr="008E17C8" w:rsidRDefault="00D41C60" w:rsidP="00B06E6D">
            <w:pPr>
              <w:jc w:val="both"/>
              <w:rPr>
                <w:rFonts w:ascii="Times New Roman" w:hAnsi="Times New Roman" w:cs="Times New Roman"/>
                <w:sz w:val="20"/>
                <w:szCs w:val="20"/>
              </w:rPr>
            </w:pPr>
          </w:p>
        </w:tc>
        <w:tc>
          <w:tcPr>
            <w:tcW w:w="806" w:type="dxa"/>
            <w:shd w:val="clear" w:color="auto" w:fill="808080"/>
          </w:tcPr>
          <w:p w14:paraId="29F871A2" w14:textId="77777777" w:rsidR="00D41C60" w:rsidRPr="008E17C8" w:rsidRDefault="00D41C60" w:rsidP="00B06E6D">
            <w:pPr>
              <w:jc w:val="both"/>
              <w:rPr>
                <w:rFonts w:ascii="Times New Roman" w:hAnsi="Times New Roman" w:cs="Times New Roman"/>
                <w:sz w:val="20"/>
                <w:szCs w:val="20"/>
              </w:rPr>
            </w:pPr>
          </w:p>
        </w:tc>
        <w:tc>
          <w:tcPr>
            <w:tcW w:w="236" w:type="dxa"/>
          </w:tcPr>
          <w:p w14:paraId="3B2C10EB" w14:textId="77777777" w:rsidR="00D41C60" w:rsidRPr="008E17C8" w:rsidRDefault="00D41C60" w:rsidP="00B06E6D">
            <w:pPr>
              <w:jc w:val="both"/>
              <w:rPr>
                <w:rFonts w:ascii="Times New Roman" w:hAnsi="Times New Roman" w:cs="Times New Roman"/>
                <w:sz w:val="20"/>
                <w:szCs w:val="20"/>
              </w:rPr>
            </w:pPr>
          </w:p>
        </w:tc>
        <w:tc>
          <w:tcPr>
            <w:tcW w:w="1085" w:type="dxa"/>
            <w:shd w:val="clear" w:color="auto" w:fill="808080"/>
          </w:tcPr>
          <w:p w14:paraId="2491E2A3"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808080"/>
          </w:tcPr>
          <w:p w14:paraId="0BB043D6" w14:textId="77777777" w:rsidR="00D41C60" w:rsidRPr="008E17C8" w:rsidRDefault="00D41C60" w:rsidP="00B06E6D">
            <w:pPr>
              <w:jc w:val="both"/>
              <w:rPr>
                <w:rFonts w:ascii="Times New Roman" w:hAnsi="Times New Roman" w:cs="Times New Roman"/>
                <w:sz w:val="20"/>
                <w:szCs w:val="20"/>
              </w:rPr>
            </w:pPr>
          </w:p>
        </w:tc>
        <w:tc>
          <w:tcPr>
            <w:tcW w:w="425" w:type="dxa"/>
          </w:tcPr>
          <w:p w14:paraId="04271A33"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808080"/>
          </w:tcPr>
          <w:p w14:paraId="6B24C581" w14:textId="77777777" w:rsidR="00D41C60" w:rsidRPr="008E17C8" w:rsidRDefault="00D41C60" w:rsidP="00B06E6D">
            <w:pPr>
              <w:jc w:val="both"/>
              <w:rPr>
                <w:rFonts w:ascii="Times New Roman" w:hAnsi="Times New Roman" w:cs="Times New Roman"/>
                <w:sz w:val="20"/>
                <w:szCs w:val="20"/>
              </w:rPr>
            </w:pPr>
          </w:p>
        </w:tc>
        <w:tc>
          <w:tcPr>
            <w:tcW w:w="1276" w:type="dxa"/>
            <w:shd w:val="clear" w:color="auto" w:fill="808080"/>
          </w:tcPr>
          <w:p w14:paraId="7CB9E1CB"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FFC000"/>
          </w:tcPr>
          <w:p w14:paraId="02181360" w14:textId="77777777" w:rsidR="00D41C60" w:rsidRPr="008E17C8" w:rsidRDefault="00D41C60" w:rsidP="00B06E6D">
            <w:pPr>
              <w:jc w:val="both"/>
              <w:rPr>
                <w:rFonts w:ascii="Times New Roman" w:hAnsi="Times New Roman" w:cs="Times New Roman"/>
                <w:sz w:val="20"/>
                <w:szCs w:val="20"/>
              </w:rPr>
            </w:pPr>
          </w:p>
        </w:tc>
        <w:tc>
          <w:tcPr>
            <w:tcW w:w="1417" w:type="dxa"/>
            <w:shd w:val="clear" w:color="auto" w:fill="FFC000"/>
          </w:tcPr>
          <w:p w14:paraId="70ABE944" w14:textId="77777777" w:rsidR="00D41C60" w:rsidRPr="008E17C8" w:rsidRDefault="00D41C60" w:rsidP="00B06E6D">
            <w:pPr>
              <w:jc w:val="both"/>
              <w:rPr>
                <w:rFonts w:ascii="Times New Roman" w:hAnsi="Times New Roman" w:cs="Times New Roman"/>
                <w:sz w:val="20"/>
                <w:szCs w:val="20"/>
              </w:rPr>
            </w:pPr>
          </w:p>
        </w:tc>
        <w:tc>
          <w:tcPr>
            <w:tcW w:w="1593" w:type="dxa"/>
          </w:tcPr>
          <w:p w14:paraId="0E20DA08" w14:textId="77777777" w:rsidR="00D41C60" w:rsidRPr="008E17C8" w:rsidRDefault="00D41C60" w:rsidP="00B06E6D">
            <w:pPr>
              <w:jc w:val="both"/>
              <w:rPr>
                <w:rFonts w:ascii="Times New Roman" w:hAnsi="Times New Roman" w:cs="Times New Roman"/>
                <w:sz w:val="20"/>
                <w:szCs w:val="20"/>
              </w:rPr>
            </w:pPr>
          </w:p>
        </w:tc>
      </w:tr>
      <w:tr w:rsidR="00B06E6D" w:rsidRPr="008E17C8" w14:paraId="313B0DDC" w14:textId="77777777" w:rsidTr="00B06E6D">
        <w:tc>
          <w:tcPr>
            <w:tcW w:w="421" w:type="dxa"/>
          </w:tcPr>
          <w:p w14:paraId="0036E030"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11</w:t>
            </w:r>
          </w:p>
        </w:tc>
        <w:tc>
          <w:tcPr>
            <w:tcW w:w="1280" w:type="dxa"/>
          </w:tcPr>
          <w:p w14:paraId="54434A9B" w14:textId="77777777" w:rsidR="00D41C60" w:rsidRPr="008E17C8" w:rsidRDefault="00D41C60" w:rsidP="00D41C60">
            <w:pPr>
              <w:pStyle w:val="Default"/>
              <w:rPr>
                <w:sz w:val="18"/>
                <w:szCs w:val="20"/>
              </w:rPr>
            </w:pPr>
            <w:r w:rsidRPr="008E17C8">
              <w:rPr>
                <w:iCs/>
                <w:sz w:val="18"/>
                <w:szCs w:val="20"/>
              </w:rPr>
              <w:t xml:space="preserve">Instytucje rządowe </w:t>
            </w:r>
          </w:p>
          <w:p w14:paraId="34920CDA" w14:textId="77777777" w:rsidR="00D41C60" w:rsidRPr="008E17C8" w:rsidRDefault="00D41C60" w:rsidP="00D41C60">
            <w:pPr>
              <w:rPr>
                <w:rFonts w:ascii="Times New Roman" w:hAnsi="Times New Roman" w:cs="Times New Roman"/>
                <w:sz w:val="18"/>
                <w:szCs w:val="20"/>
              </w:rPr>
            </w:pPr>
          </w:p>
        </w:tc>
        <w:tc>
          <w:tcPr>
            <w:tcW w:w="426" w:type="dxa"/>
          </w:tcPr>
          <w:p w14:paraId="6203E8AD"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4B021AC0" w14:textId="77777777" w:rsidR="00D41C60" w:rsidRPr="008E17C8" w:rsidRDefault="00D41C60" w:rsidP="00B06E6D">
            <w:pPr>
              <w:jc w:val="both"/>
              <w:rPr>
                <w:rFonts w:ascii="Times New Roman" w:hAnsi="Times New Roman" w:cs="Times New Roman"/>
                <w:sz w:val="20"/>
                <w:szCs w:val="20"/>
              </w:rPr>
            </w:pPr>
          </w:p>
        </w:tc>
        <w:tc>
          <w:tcPr>
            <w:tcW w:w="709" w:type="dxa"/>
            <w:shd w:val="clear" w:color="auto" w:fill="808080"/>
          </w:tcPr>
          <w:p w14:paraId="2AC912CA" w14:textId="77777777" w:rsidR="00D41C60" w:rsidRPr="008E17C8" w:rsidRDefault="00D41C60" w:rsidP="00B06E6D">
            <w:pPr>
              <w:jc w:val="both"/>
              <w:rPr>
                <w:rFonts w:ascii="Times New Roman" w:hAnsi="Times New Roman" w:cs="Times New Roman"/>
                <w:sz w:val="20"/>
                <w:szCs w:val="20"/>
              </w:rPr>
            </w:pPr>
          </w:p>
        </w:tc>
        <w:tc>
          <w:tcPr>
            <w:tcW w:w="284" w:type="dxa"/>
          </w:tcPr>
          <w:p w14:paraId="7EE29D74"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56BF75AF" w14:textId="77777777" w:rsidR="00D41C60" w:rsidRPr="008E17C8" w:rsidRDefault="00D41C60" w:rsidP="00B06E6D">
            <w:pPr>
              <w:jc w:val="both"/>
              <w:rPr>
                <w:rFonts w:ascii="Times New Roman" w:hAnsi="Times New Roman" w:cs="Times New Roman"/>
                <w:sz w:val="20"/>
                <w:szCs w:val="20"/>
              </w:rPr>
            </w:pPr>
          </w:p>
        </w:tc>
        <w:tc>
          <w:tcPr>
            <w:tcW w:w="806" w:type="dxa"/>
            <w:shd w:val="clear" w:color="auto" w:fill="808080"/>
          </w:tcPr>
          <w:p w14:paraId="0A128EDF" w14:textId="77777777" w:rsidR="00D41C60" w:rsidRPr="008E17C8" w:rsidRDefault="00D41C60" w:rsidP="00B06E6D">
            <w:pPr>
              <w:jc w:val="both"/>
              <w:rPr>
                <w:rFonts w:ascii="Times New Roman" w:hAnsi="Times New Roman" w:cs="Times New Roman"/>
                <w:sz w:val="20"/>
                <w:szCs w:val="20"/>
              </w:rPr>
            </w:pPr>
          </w:p>
        </w:tc>
        <w:tc>
          <w:tcPr>
            <w:tcW w:w="236" w:type="dxa"/>
          </w:tcPr>
          <w:p w14:paraId="04FFC1C1" w14:textId="77777777" w:rsidR="00D41C60" w:rsidRPr="008E17C8" w:rsidRDefault="00D41C60" w:rsidP="00B06E6D">
            <w:pPr>
              <w:jc w:val="both"/>
              <w:rPr>
                <w:rFonts w:ascii="Times New Roman" w:hAnsi="Times New Roman" w:cs="Times New Roman"/>
                <w:sz w:val="20"/>
                <w:szCs w:val="20"/>
              </w:rPr>
            </w:pPr>
          </w:p>
        </w:tc>
        <w:tc>
          <w:tcPr>
            <w:tcW w:w="1085" w:type="dxa"/>
            <w:shd w:val="clear" w:color="auto" w:fill="808080"/>
          </w:tcPr>
          <w:p w14:paraId="62B8BA31"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808080"/>
          </w:tcPr>
          <w:p w14:paraId="63CBC2AA" w14:textId="77777777" w:rsidR="00D41C60" w:rsidRPr="008E17C8" w:rsidRDefault="00D41C60" w:rsidP="00B06E6D">
            <w:pPr>
              <w:jc w:val="both"/>
              <w:rPr>
                <w:rFonts w:ascii="Times New Roman" w:hAnsi="Times New Roman" w:cs="Times New Roman"/>
                <w:sz w:val="20"/>
                <w:szCs w:val="20"/>
              </w:rPr>
            </w:pPr>
          </w:p>
        </w:tc>
        <w:tc>
          <w:tcPr>
            <w:tcW w:w="425" w:type="dxa"/>
          </w:tcPr>
          <w:p w14:paraId="1AF7DDEF"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808080"/>
          </w:tcPr>
          <w:p w14:paraId="3209DC10" w14:textId="77777777" w:rsidR="00D41C60" w:rsidRPr="008E17C8" w:rsidRDefault="00D41C60" w:rsidP="00B06E6D">
            <w:pPr>
              <w:jc w:val="both"/>
              <w:rPr>
                <w:rFonts w:ascii="Times New Roman" w:hAnsi="Times New Roman" w:cs="Times New Roman"/>
                <w:sz w:val="20"/>
                <w:szCs w:val="20"/>
              </w:rPr>
            </w:pPr>
          </w:p>
        </w:tc>
        <w:tc>
          <w:tcPr>
            <w:tcW w:w="1276" w:type="dxa"/>
            <w:shd w:val="clear" w:color="auto" w:fill="808080"/>
          </w:tcPr>
          <w:p w14:paraId="3F4C1B2B"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FFC000"/>
          </w:tcPr>
          <w:p w14:paraId="65BB13CA" w14:textId="77777777" w:rsidR="00D41C60" w:rsidRPr="008E17C8" w:rsidRDefault="00D41C60" w:rsidP="00B06E6D">
            <w:pPr>
              <w:jc w:val="both"/>
              <w:rPr>
                <w:rFonts w:ascii="Times New Roman" w:hAnsi="Times New Roman" w:cs="Times New Roman"/>
                <w:sz w:val="20"/>
                <w:szCs w:val="20"/>
              </w:rPr>
            </w:pPr>
          </w:p>
        </w:tc>
        <w:tc>
          <w:tcPr>
            <w:tcW w:w="1417" w:type="dxa"/>
            <w:shd w:val="clear" w:color="auto" w:fill="FFC000"/>
          </w:tcPr>
          <w:p w14:paraId="54F31E0C" w14:textId="77777777" w:rsidR="00D41C60" w:rsidRPr="008E17C8" w:rsidRDefault="00D41C60" w:rsidP="00B06E6D">
            <w:pPr>
              <w:jc w:val="both"/>
              <w:rPr>
                <w:rFonts w:ascii="Times New Roman" w:hAnsi="Times New Roman" w:cs="Times New Roman"/>
                <w:sz w:val="20"/>
                <w:szCs w:val="20"/>
              </w:rPr>
            </w:pPr>
          </w:p>
        </w:tc>
        <w:tc>
          <w:tcPr>
            <w:tcW w:w="1593" w:type="dxa"/>
          </w:tcPr>
          <w:p w14:paraId="0DD4A142" w14:textId="77777777" w:rsidR="00D41C60" w:rsidRPr="008E17C8" w:rsidRDefault="00D41C60" w:rsidP="00B06E6D">
            <w:pPr>
              <w:jc w:val="both"/>
              <w:rPr>
                <w:rFonts w:ascii="Times New Roman" w:hAnsi="Times New Roman" w:cs="Times New Roman"/>
                <w:sz w:val="20"/>
                <w:szCs w:val="20"/>
              </w:rPr>
            </w:pPr>
          </w:p>
        </w:tc>
      </w:tr>
      <w:tr w:rsidR="00B06E6D" w:rsidRPr="008E17C8" w14:paraId="2D8EE89E" w14:textId="77777777" w:rsidTr="00B06E6D">
        <w:tc>
          <w:tcPr>
            <w:tcW w:w="421" w:type="dxa"/>
          </w:tcPr>
          <w:p w14:paraId="418F8332"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12</w:t>
            </w:r>
          </w:p>
        </w:tc>
        <w:tc>
          <w:tcPr>
            <w:tcW w:w="1280" w:type="dxa"/>
          </w:tcPr>
          <w:p w14:paraId="39A8D993" w14:textId="77777777" w:rsidR="00D41C60" w:rsidRPr="008E17C8" w:rsidRDefault="00D41C60" w:rsidP="00D41C60">
            <w:pPr>
              <w:pStyle w:val="Default"/>
              <w:rPr>
                <w:sz w:val="18"/>
                <w:szCs w:val="20"/>
              </w:rPr>
            </w:pPr>
            <w:r w:rsidRPr="008E17C8">
              <w:rPr>
                <w:iCs/>
                <w:sz w:val="18"/>
                <w:szCs w:val="20"/>
              </w:rPr>
              <w:t xml:space="preserve">Instytucje kredytowe </w:t>
            </w:r>
          </w:p>
          <w:p w14:paraId="1DAFB006" w14:textId="77777777" w:rsidR="00D41C60" w:rsidRPr="008E17C8" w:rsidRDefault="00D41C60" w:rsidP="00D41C60">
            <w:pPr>
              <w:rPr>
                <w:rFonts w:ascii="Times New Roman" w:hAnsi="Times New Roman" w:cs="Times New Roman"/>
                <w:sz w:val="18"/>
                <w:szCs w:val="20"/>
              </w:rPr>
            </w:pPr>
          </w:p>
        </w:tc>
        <w:tc>
          <w:tcPr>
            <w:tcW w:w="426" w:type="dxa"/>
          </w:tcPr>
          <w:p w14:paraId="7800A4ED"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4BC414A1" w14:textId="77777777" w:rsidR="00D41C60" w:rsidRPr="008E17C8" w:rsidRDefault="00D41C60" w:rsidP="00B06E6D">
            <w:pPr>
              <w:jc w:val="both"/>
              <w:rPr>
                <w:rFonts w:ascii="Times New Roman" w:hAnsi="Times New Roman" w:cs="Times New Roman"/>
                <w:sz w:val="20"/>
                <w:szCs w:val="20"/>
              </w:rPr>
            </w:pPr>
          </w:p>
        </w:tc>
        <w:tc>
          <w:tcPr>
            <w:tcW w:w="709" w:type="dxa"/>
            <w:shd w:val="clear" w:color="auto" w:fill="808080"/>
          </w:tcPr>
          <w:p w14:paraId="3C583A22" w14:textId="77777777" w:rsidR="00D41C60" w:rsidRPr="008E17C8" w:rsidRDefault="00D41C60" w:rsidP="00B06E6D">
            <w:pPr>
              <w:jc w:val="both"/>
              <w:rPr>
                <w:rFonts w:ascii="Times New Roman" w:hAnsi="Times New Roman" w:cs="Times New Roman"/>
                <w:sz w:val="20"/>
                <w:szCs w:val="20"/>
              </w:rPr>
            </w:pPr>
          </w:p>
        </w:tc>
        <w:tc>
          <w:tcPr>
            <w:tcW w:w="284" w:type="dxa"/>
          </w:tcPr>
          <w:p w14:paraId="1FBAF56F"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626656F3" w14:textId="77777777" w:rsidR="00D41C60" w:rsidRPr="008E17C8" w:rsidRDefault="00D41C60" w:rsidP="00B06E6D">
            <w:pPr>
              <w:jc w:val="both"/>
              <w:rPr>
                <w:rFonts w:ascii="Times New Roman" w:hAnsi="Times New Roman" w:cs="Times New Roman"/>
                <w:sz w:val="20"/>
                <w:szCs w:val="20"/>
              </w:rPr>
            </w:pPr>
          </w:p>
        </w:tc>
        <w:tc>
          <w:tcPr>
            <w:tcW w:w="806" w:type="dxa"/>
            <w:shd w:val="clear" w:color="auto" w:fill="808080"/>
          </w:tcPr>
          <w:p w14:paraId="0B2287E4" w14:textId="77777777" w:rsidR="00D41C60" w:rsidRPr="008E17C8" w:rsidRDefault="00D41C60" w:rsidP="00B06E6D">
            <w:pPr>
              <w:jc w:val="both"/>
              <w:rPr>
                <w:rFonts w:ascii="Times New Roman" w:hAnsi="Times New Roman" w:cs="Times New Roman"/>
                <w:sz w:val="20"/>
                <w:szCs w:val="20"/>
              </w:rPr>
            </w:pPr>
          </w:p>
        </w:tc>
        <w:tc>
          <w:tcPr>
            <w:tcW w:w="236" w:type="dxa"/>
          </w:tcPr>
          <w:p w14:paraId="46C3E09D" w14:textId="77777777" w:rsidR="00D41C60" w:rsidRPr="008E17C8" w:rsidRDefault="00D41C60" w:rsidP="00B06E6D">
            <w:pPr>
              <w:jc w:val="both"/>
              <w:rPr>
                <w:rFonts w:ascii="Times New Roman" w:hAnsi="Times New Roman" w:cs="Times New Roman"/>
                <w:sz w:val="20"/>
                <w:szCs w:val="20"/>
              </w:rPr>
            </w:pPr>
          </w:p>
        </w:tc>
        <w:tc>
          <w:tcPr>
            <w:tcW w:w="1085" w:type="dxa"/>
            <w:shd w:val="clear" w:color="auto" w:fill="808080"/>
          </w:tcPr>
          <w:p w14:paraId="638CB602"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808080"/>
          </w:tcPr>
          <w:p w14:paraId="282F55CD" w14:textId="77777777" w:rsidR="00D41C60" w:rsidRPr="008E17C8" w:rsidRDefault="00D41C60" w:rsidP="00B06E6D">
            <w:pPr>
              <w:jc w:val="both"/>
              <w:rPr>
                <w:rFonts w:ascii="Times New Roman" w:hAnsi="Times New Roman" w:cs="Times New Roman"/>
                <w:sz w:val="20"/>
                <w:szCs w:val="20"/>
              </w:rPr>
            </w:pPr>
          </w:p>
        </w:tc>
        <w:tc>
          <w:tcPr>
            <w:tcW w:w="425" w:type="dxa"/>
          </w:tcPr>
          <w:p w14:paraId="3AFB629A"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808080"/>
          </w:tcPr>
          <w:p w14:paraId="59029293" w14:textId="77777777" w:rsidR="00D41C60" w:rsidRPr="008E17C8" w:rsidRDefault="00D41C60" w:rsidP="00B06E6D">
            <w:pPr>
              <w:jc w:val="both"/>
              <w:rPr>
                <w:rFonts w:ascii="Times New Roman" w:hAnsi="Times New Roman" w:cs="Times New Roman"/>
                <w:sz w:val="20"/>
                <w:szCs w:val="20"/>
              </w:rPr>
            </w:pPr>
          </w:p>
        </w:tc>
        <w:tc>
          <w:tcPr>
            <w:tcW w:w="1276" w:type="dxa"/>
            <w:shd w:val="clear" w:color="auto" w:fill="808080"/>
          </w:tcPr>
          <w:p w14:paraId="52BDE911"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FFC000"/>
          </w:tcPr>
          <w:p w14:paraId="5AA31EF2" w14:textId="77777777" w:rsidR="00D41C60" w:rsidRPr="008E17C8" w:rsidRDefault="00D41C60" w:rsidP="00B06E6D">
            <w:pPr>
              <w:jc w:val="both"/>
              <w:rPr>
                <w:rFonts w:ascii="Times New Roman" w:hAnsi="Times New Roman" w:cs="Times New Roman"/>
                <w:sz w:val="20"/>
                <w:szCs w:val="20"/>
              </w:rPr>
            </w:pPr>
          </w:p>
        </w:tc>
        <w:tc>
          <w:tcPr>
            <w:tcW w:w="1417" w:type="dxa"/>
            <w:shd w:val="clear" w:color="auto" w:fill="FFC000"/>
          </w:tcPr>
          <w:p w14:paraId="3EE707BA" w14:textId="77777777" w:rsidR="00D41C60" w:rsidRPr="008E17C8" w:rsidRDefault="00D41C60" w:rsidP="00B06E6D">
            <w:pPr>
              <w:jc w:val="both"/>
              <w:rPr>
                <w:rFonts w:ascii="Times New Roman" w:hAnsi="Times New Roman" w:cs="Times New Roman"/>
                <w:sz w:val="20"/>
                <w:szCs w:val="20"/>
              </w:rPr>
            </w:pPr>
          </w:p>
        </w:tc>
        <w:tc>
          <w:tcPr>
            <w:tcW w:w="1593" w:type="dxa"/>
          </w:tcPr>
          <w:p w14:paraId="40202DEE" w14:textId="77777777" w:rsidR="00D41C60" w:rsidRPr="008E17C8" w:rsidRDefault="00D41C60" w:rsidP="00B06E6D">
            <w:pPr>
              <w:jc w:val="both"/>
              <w:rPr>
                <w:rFonts w:ascii="Times New Roman" w:hAnsi="Times New Roman" w:cs="Times New Roman"/>
                <w:sz w:val="20"/>
                <w:szCs w:val="20"/>
              </w:rPr>
            </w:pPr>
          </w:p>
        </w:tc>
      </w:tr>
      <w:tr w:rsidR="00B06E6D" w:rsidRPr="008E17C8" w14:paraId="5D0BDD65" w14:textId="77777777" w:rsidTr="00B06E6D">
        <w:tc>
          <w:tcPr>
            <w:tcW w:w="421" w:type="dxa"/>
          </w:tcPr>
          <w:p w14:paraId="5E7EB11D"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13</w:t>
            </w:r>
          </w:p>
        </w:tc>
        <w:tc>
          <w:tcPr>
            <w:tcW w:w="1280" w:type="dxa"/>
          </w:tcPr>
          <w:p w14:paraId="3D5D9CD2" w14:textId="77777777" w:rsidR="00D41C60" w:rsidRPr="008E17C8" w:rsidRDefault="00D41C60" w:rsidP="00D41C60">
            <w:pPr>
              <w:pStyle w:val="Default"/>
              <w:rPr>
                <w:sz w:val="18"/>
                <w:szCs w:val="20"/>
              </w:rPr>
            </w:pPr>
            <w:r w:rsidRPr="008E17C8">
              <w:rPr>
                <w:iCs/>
                <w:sz w:val="18"/>
                <w:szCs w:val="20"/>
              </w:rPr>
              <w:t xml:space="preserve">Inne instytucje finansowe </w:t>
            </w:r>
          </w:p>
          <w:p w14:paraId="4B5604B9" w14:textId="77777777" w:rsidR="00D41C60" w:rsidRPr="008E17C8" w:rsidRDefault="00D41C60" w:rsidP="00D41C60">
            <w:pPr>
              <w:rPr>
                <w:rFonts w:ascii="Times New Roman" w:hAnsi="Times New Roman" w:cs="Times New Roman"/>
                <w:sz w:val="18"/>
                <w:szCs w:val="20"/>
              </w:rPr>
            </w:pPr>
          </w:p>
        </w:tc>
        <w:tc>
          <w:tcPr>
            <w:tcW w:w="426" w:type="dxa"/>
          </w:tcPr>
          <w:p w14:paraId="3DFFFE48"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20CAD82A" w14:textId="77777777" w:rsidR="00D41C60" w:rsidRPr="008E17C8" w:rsidRDefault="00D41C60" w:rsidP="00B06E6D">
            <w:pPr>
              <w:jc w:val="both"/>
              <w:rPr>
                <w:rFonts w:ascii="Times New Roman" w:hAnsi="Times New Roman" w:cs="Times New Roman"/>
                <w:sz w:val="20"/>
                <w:szCs w:val="20"/>
              </w:rPr>
            </w:pPr>
          </w:p>
        </w:tc>
        <w:tc>
          <w:tcPr>
            <w:tcW w:w="709" w:type="dxa"/>
            <w:shd w:val="clear" w:color="auto" w:fill="808080"/>
          </w:tcPr>
          <w:p w14:paraId="20D38C17" w14:textId="77777777" w:rsidR="00D41C60" w:rsidRPr="008E17C8" w:rsidRDefault="00D41C60" w:rsidP="00B06E6D">
            <w:pPr>
              <w:jc w:val="both"/>
              <w:rPr>
                <w:rFonts w:ascii="Times New Roman" w:hAnsi="Times New Roman" w:cs="Times New Roman"/>
                <w:sz w:val="20"/>
                <w:szCs w:val="20"/>
              </w:rPr>
            </w:pPr>
          </w:p>
        </w:tc>
        <w:tc>
          <w:tcPr>
            <w:tcW w:w="284" w:type="dxa"/>
          </w:tcPr>
          <w:p w14:paraId="6EB2171C"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412D7553" w14:textId="77777777" w:rsidR="00D41C60" w:rsidRPr="008E17C8" w:rsidRDefault="00D41C60" w:rsidP="00B06E6D">
            <w:pPr>
              <w:jc w:val="both"/>
              <w:rPr>
                <w:rFonts w:ascii="Times New Roman" w:hAnsi="Times New Roman" w:cs="Times New Roman"/>
                <w:sz w:val="20"/>
                <w:szCs w:val="20"/>
              </w:rPr>
            </w:pPr>
          </w:p>
        </w:tc>
        <w:tc>
          <w:tcPr>
            <w:tcW w:w="806" w:type="dxa"/>
            <w:shd w:val="clear" w:color="auto" w:fill="808080"/>
          </w:tcPr>
          <w:p w14:paraId="07FAB737" w14:textId="77777777" w:rsidR="00D41C60" w:rsidRPr="008E17C8" w:rsidRDefault="00D41C60" w:rsidP="00B06E6D">
            <w:pPr>
              <w:jc w:val="both"/>
              <w:rPr>
                <w:rFonts w:ascii="Times New Roman" w:hAnsi="Times New Roman" w:cs="Times New Roman"/>
                <w:sz w:val="20"/>
                <w:szCs w:val="20"/>
              </w:rPr>
            </w:pPr>
          </w:p>
        </w:tc>
        <w:tc>
          <w:tcPr>
            <w:tcW w:w="236" w:type="dxa"/>
          </w:tcPr>
          <w:p w14:paraId="38536617" w14:textId="77777777" w:rsidR="00D41C60" w:rsidRPr="008E17C8" w:rsidRDefault="00D41C60" w:rsidP="00B06E6D">
            <w:pPr>
              <w:jc w:val="both"/>
              <w:rPr>
                <w:rFonts w:ascii="Times New Roman" w:hAnsi="Times New Roman" w:cs="Times New Roman"/>
                <w:sz w:val="20"/>
                <w:szCs w:val="20"/>
              </w:rPr>
            </w:pPr>
          </w:p>
        </w:tc>
        <w:tc>
          <w:tcPr>
            <w:tcW w:w="1085" w:type="dxa"/>
            <w:shd w:val="clear" w:color="auto" w:fill="808080"/>
          </w:tcPr>
          <w:p w14:paraId="7280412A"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808080"/>
          </w:tcPr>
          <w:p w14:paraId="3D50ED08" w14:textId="77777777" w:rsidR="00D41C60" w:rsidRPr="008E17C8" w:rsidRDefault="00D41C60" w:rsidP="00B06E6D">
            <w:pPr>
              <w:jc w:val="both"/>
              <w:rPr>
                <w:rFonts w:ascii="Times New Roman" w:hAnsi="Times New Roman" w:cs="Times New Roman"/>
                <w:sz w:val="20"/>
                <w:szCs w:val="20"/>
              </w:rPr>
            </w:pPr>
          </w:p>
        </w:tc>
        <w:tc>
          <w:tcPr>
            <w:tcW w:w="425" w:type="dxa"/>
          </w:tcPr>
          <w:p w14:paraId="64A220A6"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808080"/>
          </w:tcPr>
          <w:p w14:paraId="3ACB6ADA" w14:textId="77777777" w:rsidR="00D41C60" w:rsidRPr="008E17C8" w:rsidRDefault="00D41C60" w:rsidP="00B06E6D">
            <w:pPr>
              <w:jc w:val="both"/>
              <w:rPr>
                <w:rFonts w:ascii="Times New Roman" w:hAnsi="Times New Roman" w:cs="Times New Roman"/>
                <w:sz w:val="20"/>
                <w:szCs w:val="20"/>
              </w:rPr>
            </w:pPr>
          </w:p>
        </w:tc>
        <w:tc>
          <w:tcPr>
            <w:tcW w:w="1276" w:type="dxa"/>
            <w:shd w:val="clear" w:color="auto" w:fill="808080"/>
          </w:tcPr>
          <w:p w14:paraId="28CF1246"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FFC000"/>
          </w:tcPr>
          <w:p w14:paraId="2AFCE28B" w14:textId="77777777" w:rsidR="00D41C60" w:rsidRPr="008E17C8" w:rsidRDefault="00D41C60" w:rsidP="00B06E6D">
            <w:pPr>
              <w:jc w:val="both"/>
              <w:rPr>
                <w:rFonts w:ascii="Times New Roman" w:hAnsi="Times New Roman" w:cs="Times New Roman"/>
                <w:sz w:val="20"/>
                <w:szCs w:val="20"/>
              </w:rPr>
            </w:pPr>
          </w:p>
        </w:tc>
        <w:tc>
          <w:tcPr>
            <w:tcW w:w="1417" w:type="dxa"/>
            <w:shd w:val="clear" w:color="auto" w:fill="FFC000"/>
          </w:tcPr>
          <w:p w14:paraId="428BC38A" w14:textId="77777777" w:rsidR="00D41C60" w:rsidRPr="008E17C8" w:rsidRDefault="00D41C60" w:rsidP="00B06E6D">
            <w:pPr>
              <w:jc w:val="both"/>
              <w:rPr>
                <w:rFonts w:ascii="Times New Roman" w:hAnsi="Times New Roman" w:cs="Times New Roman"/>
                <w:sz w:val="20"/>
                <w:szCs w:val="20"/>
              </w:rPr>
            </w:pPr>
          </w:p>
        </w:tc>
        <w:tc>
          <w:tcPr>
            <w:tcW w:w="1593" w:type="dxa"/>
          </w:tcPr>
          <w:p w14:paraId="06D96532" w14:textId="77777777" w:rsidR="00D41C60" w:rsidRPr="008E17C8" w:rsidRDefault="00D41C60" w:rsidP="00B06E6D">
            <w:pPr>
              <w:jc w:val="both"/>
              <w:rPr>
                <w:rFonts w:ascii="Times New Roman" w:hAnsi="Times New Roman" w:cs="Times New Roman"/>
                <w:sz w:val="20"/>
                <w:szCs w:val="20"/>
              </w:rPr>
            </w:pPr>
          </w:p>
        </w:tc>
      </w:tr>
      <w:tr w:rsidR="00B06E6D" w:rsidRPr="008E17C8" w14:paraId="1C579220" w14:textId="77777777" w:rsidTr="00B06E6D">
        <w:tc>
          <w:tcPr>
            <w:tcW w:w="421" w:type="dxa"/>
          </w:tcPr>
          <w:p w14:paraId="2B39484E"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14</w:t>
            </w:r>
          </w:p>
        </w:tc>
        <w:tc>
          <w:tcPr>
            <w:tcW w:w="1280" w:type="dxa"/>
          </w:tcPr>
          <w:p w14:paraId="4F979F4B" w14:textId="77777777" w:rsidR="00D41C60" w:rsidRPr="008E17C8" w:rsidRDefault="00D41C60" w:rsidP="00D41C60">
            <w:pPr>
              <w:pStyle w:val="Default"/>
              <w:rPr>
                <w:sz w:val="18"/>
                <w:szCs w:val="20"/>
              </w:rPr>
            </w:pPr>
            <w:r w:rsidRPr="008E17C8">
              <w:rPr>
                <w:iCs/>
                <w:sz w:val="18"/>
                <w:szCs w:val="20"/>
              </w:rPr>
              <w:t xml:space="preserve">Przedsiębiorstwa niefinansowe </w:t>
            </w:r>
          </w:p>
          <w:p w14:paraId="06C6DA9D" w14:textId="77777777" w:rsidR="00D41C60" w:rsidRPr="008E17C8" w:rsidRDefault="00D41C60" w:rsidP="00D41C60">
            <w:pPr>
              <w:rPr>
                <w:rFonts w:ascii="Times New Roman" w:hAnsi="Times New Roman" w:cs="Times New Roman"/>
                <w:sz w:val="18"/>
                <w:szCs w:val="20"/>
              </w:rPr>
            </w:pPr>
          </w:p>
        </w:tc>
        <w:tc>
          <w:tcPr>
            <w:tcW w:w="426" w:type="dxa"/>
          </w:tcPr>
          <w:p w14:paraId="15BD6EC3"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1F4EEB62" w14:textId="77777777" w:rsidR="00D41C60" w:rsidRPr="008E17C8" w:rsidRDefault="00D41C60" w:rsidP="00B06E6D">
            <w:pPr>
              <w:jc w:val="both"/>
              <w:rPr>
                <w:rFonts w:ascii="Times New Roman" w:hAnsi="Times New Roman" w:cs="Times New Roman"/>
                <w:sz w:val="20"/>
                <w:szCs w:val="20"/>
              </w:rPr>
            </w:pPr>
          </w:p>
        </w:tc>
        <w:tc>
          <w:tcPr>
            <w:tcW w:w="709" w:type="dxa"/>
            <w:shd w:val="clear" w:color="auto" w:fill="808080"/>
          </w:tcPr>
          <w:p w14:paraId="31A8DF73" w14:textId="77777777" w:rsidR="00D41C60" w:rsidRPr="008E17C8" w:rsidRDefault="00D41C60" w:rsidP="00B06E6D">
            <w:pPr>
              <w:jc w:val="both"/>
              <w:rPr>
                <w:rFonts w:ascii="Times New Roman" w:hAnsi="Times New Roman" w:cs="Times New Roman"/>
                <w:sz w:val="20"/>
                <w:szCs w:val="20"/>
              </w:rPr>
            </w:pPr>
          </w:p>
        </w:tc>
        <w:tc>
          <w:tcPr>
            <w:tcW w:w="284" w:type="dxa"/>
          </w:tcPr>
          <w:p w14:paraId="3691183E"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775BD7B7" w14:textId="77777777" w:rsidR="00D41C60" w:rsidRPr="008E17C8" w:rsidRDefault="00D41C60" w:rsidP="00B06E6D">
            <w:pPr>
              <w:jc w:val="both"/>
              <w:rPr>
                <w:rFonts w:ascii="Times New Roman" w:hAnsi="Times New Roman" w:cs="Times New Roman"/>
                <w:sz w:val="20"/>
                <w:szCs w:val="20"/>
              </w:rPr>
            </w:pPr>
          </w:p>
        </w:tc>
        <w:tc>
          <w:tcPr>
            <w:tcW w:w="806" w:type="dxa"/>
            <w:shd w:val="clear" w:color="auto" w:fill="808080"/>
          </w:tcPr>
          <w:p w14:paraId="196F757A" w14:textId="77777777" w:rsidR="00D41C60" w:rsidRPr="008E17C8" w:rsidRDefault="00D41C60" w:rsidP="00B06E6D">
            <w:pPr>
              <w:jc w:val="both"/>
              <w:rPr>
                <w:rFonts w:ascii="Times New Roman" w:hAnsi="Times New Roman" w:cs="Times New Roman"/>
                <w:sz w:val="20"/>
                <w:szCs w:val="20"/>
              </w:rPr>
            </w:pPr>
          </w:p>
        </w:tc>
        <w:tc>
          <w:tcPr>
            <w:tcW w:w="236" w:type="dxa"/>
          </w:tcPr>
          <w:p w14:paraId="63FA95AC" w14:textId="77777777" w:rsidR="00D41C60" w:rsidRPr="008E17C8" w:rsidRDefault="00D41C60" w:rsidP="00B06E6D">
            <w:pPr>
              <w:jc w:val="both"/>
              <w:rPr>
                <w:rFonts w:ascii="Times New Roman" w:hAnsi="Times New Roman" w:cs="Times New Roman"/>
                <w:sz w:val="20"/>
                <w:szCs w:val="20"/>
              </w:rPr>
            </w:pPr>
          </w:p>
        </w:tc>
        <w:tc>
          <w:tcPr>
            <w:tcW w:w="1085" w:type="dxa"/>
            <w:shd w:val="clear" w:color="auto" w:fill="808080"/>
          </w:tcPr>
          <w:p w14:paraId="1F4CC4D9"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808080"/>
          </w:tcPr>
          <w:p w14:paraId="5F2878BF" w14:textId="77777777" w:rsidR="00D41C60" w:rsidRPr="008E17C8" w:rsidRDefault="00D41C60" w:rsidP="00B06E6D">
            <w:pPr>
              <w:jc w:val="both"/>
              <w:rPr>
                <w:rFonts w:ascii="Times New Roman" w:hAnsi="Times New Roman" w:cs="Times New Roman"/>
                <w:sz w:val="20"/>
                <w:szCs w:val="20"/>
              </w:rPr>
            </w:pPr>
          </w:p>
        </w:tc>
        <w:tc>
          <w:tcPr>
            <w:tcW w:w="425" w:type="dxa"/>
          </w:tcPr>
          <w:p w14:paraId="2EAD0EE8"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808080"/>
          </w:tcPr>
          <w:p w14:paraId="402193C0" w14:textId="77777777" w:rsidR="00D41C60" w:rsidRPr="008E17C8" w:rsidRDefault="00D41C60" w:rsidP="00B06E6D">
            <w:pPr>
              <w:jc w:val="both"/>
              <w:rPr>
                <w:rFonts w:ascii="Times New Roman" w:hAnsi="Times New Roman" w:cs="Times New Roman"/>
                <w:sz w:val="20"/>
                <w:szCs w:val="20"/>
              </w:rPr>
            </w:pPr>
          </w:p>
        </w:tc>
        <w:tc>
          <w:tcPr>
            <w:tcW w:w="1276" w:type="dxa"/>
            <w:shd w:val="clear" w:color="auto" w:fill="808080"/>
          </w:tcPr>
          <w:p w14:paraId="632E12CD"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FFC000"/>
          </w:tcPr>
          <w:p w14:paraId="79942B72" w14:textId="77777777" w:rsidR="00D41C60" w:rsidRPr="008E17C8" w:rsidRDefault="00D41C60" w:rsidP="00B06E6D">
            <w:pPr>
              <w:jc w:val="both"/>
              <w:rPr>
                <w:rFonts w:ascii="Times New Roman" w:hAnsi="Times New Roman" w:cs="Times New Roman"/>
                <w:sz w:val="20"/>
                <w:szCs w:val="20"/>
              </w:rPr>
            </w:pPr>
          </w:p>
        </w:tc>
        <w:tc>
          <w:tcPr>
            <w:tcW w:w="1417" w:type="dxa"/>
            <w:shd w:val="clear" w:color="auto" w:fill="FFC000"/>
          </w:tcPr>
          <w:p w14:paraId="4453A09C" w14:textId="77777777" w:rsidR="00D41C60" w:rsidRPr="008E17C8" w:rsidRDefault="00D41C60" w:rsidP="00B06E6D">
            <w:pPr>
              <w:jc w:val="both"/>
              <w:rPr>
                <w:rFonts w:ascii="Times New Roman" w:hAnsi="Times New Roman" w:cs="Times New Roman"/>
                <w:sz w:val="20"/>
                <w:szCs w:val="20"/>
              </w:rPr>
            </w:pPr>
          </w:p>
        </w:tc>
        <w:tc>
          <w:tcPr>
            <w:tcW w:w="1593" w:type="dxa"/>
          </w:tcPr>
          <w:p w14:paraId="57456599" w14:textId="77777777" w:rsidR="00D41C60" w:rsidRPr="008E17C8" w:rsidRDefault="00D41C60" w:rsidP="00B06E6D">
            <w:pPr>
              <w:jc w:val="both"/>
              <w:rPr>
                <w:rFonts w:ascii="Times New Roman" w:hAnsi="Times New Roman" w:cs="Times New Roman"/>
                <w:sz w:val="20"/>
                <w:szCs w:val="20"/>
              </w:rPr>
            </w:pPr>
          </w:p>
        </w:tc>
      </w:tr>
      <w:tr w:rsidR="00B06E6D" w:rsidRPr="008E17C8" w14:paraId="75233492" w14:textId="77777777" w:rsidTr="00B06E6D">
        <w:tc>
          <w:tcPr>
            <w:tcW w:w="421" w:type="dxa"/>
          </w:tcPr>
          <w:p w14:paraId="668D8C8C"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15</w:t>
            </w:r>
          </w:p>
        </w:tc>
        <w:tc>
          <w:tcPr>
            <w:tcW w:w="1280" w:type="dxa"/>
          </w:tcPr>
          <w:p w14:paraId="5F55B62B" w14:textId="77777777" w:rsidR="00D41C60" w:rsidRPr="008E17C8" w:rsidRDefault="00D41C60" w:rsidP="00D41C60">
            <w:pPr>
              <w:pStyle w:val="Default"/>
              <w:rPr>
                <w:sz w:val="18"/>
                <w:szCs w:val="20"/>
              </w:rPr>
            </w:pPr>
            <w:r w:rsidRPr="008E17C8">
              <w:rPr>
                <w:sz w:val="18"/>
                <w:szCs w:val="20"/>
              </w:rPr>
              <w:t xml:space="preserve">Ekspozycje pozabilansowe </w:t>
            </w:r>
          </w:p>
          <w:p w14:paraId="763A6B41" w14:textId="77777777" w:rsidR="00D41C60" w:rsidRPr="008E17C8" w:rsidRDefault="00D41C60" w:rsidP="00D41C60">
            <w:pPr>
              <w:rPr>
                <w:rFonts w:ascii="Times New Roman" w:hAnsi="Times New Roman" w:cs="Times New Roman"/>
                <w:sz w:val="18"/>
                <w:szCs w:val="20"/>
              </w:rPr>
            </w:pPr>
          </w:p>
        </w:tc>
        <w:tc>
          <w:tcPr>
            <w:tcW w:w="426" w:type="dxa"/>
          </w:tcPr>
          <w:p w14:paraId="3A31A270"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1D31660D" w14:textId="77777777" w:rsidR="00D41C60" w:rsidRPr="008E17C8" w:rsidRDefault="00D41C60" w:rsidP="00B06E6D">
            <w:pPr>
              <w:jc w:val="both"/>
              <w:rPr>
                <w:rFonts w:ascii="Times New Roman" w:hAnsi="Times New Roman" w:cs="Times New Roman"/>
                <w:sz w:val="20"/>
                <w:szCs w:val="20"/>
              </w:rPr>
            </w:pPr>
          </w:p>
        </w:tc>
        <w:tc>
          <w:tcPr>
            <w:tcW w:w="709" w:type="dxa"/>
            <w:shd w:val="clear" w:color="auto" w:fill="808080"/>
          </w:tcPr>
          <w:p w14:paraId="0B24BF84" w14:textId="77777777" w:rsidR="00D41C60" w:rsidRPr="008E17C8" w:rsidRDefault="00D41C60" w:rsidP="00B06E6D">
            <w:pPr>
              <w:jc w:val="both"/>
              <w:rPr>
                <w:rFonts w:ascii="Times New Roman" w:hAnsi="Times New Roman" w:cs="Times New Roman"/>
                <w:sz w:val="20"/>
                <w:szCs w:val="20"/>
              </w:rPr>
            </w:pPr>
          </w:p>
        </w:tc>
        <w:tc>
          <w:tcPr>
            <w:tcW w:w="284" w:type="dxa"/>
          </w:tcPr>
          <w:p w14:paraId="1BD3E6AC"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2B452569" w14:textId="77777777" w:rsidR="00D41C60" w:rsidRPr="008E17C8" w:rsidRDefault="00D41C60" w:rsidP="00B06E6D">
            <w:pPr>
              <w:jc w:val="both"/>
              <w:rPr>
                <w:rFonts w:ascii="Times New Roman" w:hAnsi="Times New Roman" w:cs="Times New Roman"/>
                <w:sz w:val="20"/>
                <w:szCs w:val="20"/>
              </w:rPr>
            </w:pPr>
          </w:p>
        </w:tc>
        <w:tc>
          <w:tcPr>
            <w:tcW w:w="806" w:type="dxa"/>
            <w:shd w:val="clear" w:color="auto" w:fill="808080"/>
          </w:tcPr>
          <w:p w14:paraId="16B8E738" w14:textId="77777777" w:rsidR="00D41C60" w:rsidRPr="008E17C8" w:rsidRDefault="00D41C60" w:rsidP="00B06E6D">
            <w:pPr>
              <w:jc w:val="both"/>
              <w:rPr>
                <w:rFonts w:ascii="Times New Roman" w:hAnsi="Times New Roman" w:cs="Times New Roman"/>
                <w:sz w:val="20"/>
                <w:szCs w:val="20"/>
              </w:rPr>
            </w:pPr>
          </w:p>
        </w:tc>
        <w:tc>
          <w:tcPr>
            <w:tcW w:w="236" w:type="dxa"/>
          </w:tcPr>
          <w:p w14:paraId="4E8AFA0D" w14:textId="77777777" w:rsidR="00D41C60" w:rsidRPr="008E17C8" w:rsidRDefault="00D41C60" w:rsidP="00B06E6D">
            <w:pPr>
              <w:jc w:val="both"/>
              <w:rPr>
                <w:rFonts w:ascii="Times New Roman" w:hAnsi="Times New Roman" w:cs="Times New Roman"/>
                <w:sz w:val="20"/>
                <w:szCs w:val="20"/>
              </w:rPr>
            </w:pPr>
          </w:p>
        </w:tc>
        <w:tc>
          <w:tcPr>
            <w:tcW w:w="1085" w:type="dxa"/>
            <w:shd w:val="clear" w:color="auto" w:fill="808080"/>
          </w:tcPr>
          <w:p w14:paraId="44A7B318"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808080"/>
          </w:tcPr>
          <w:p w14:paraId="708E688C" w14:textId="77777777" w:rsidR="00D41C60" w:rsidRPr="008E17C8" w:rsidRDefault="00D41C60" w:rsidP="00B06E6D">
            <w:pPr>
              <w:jc w:val="both"/>
              <w:rPr>
                <w:rFonts w:ascii="Times New Roman" w:hAnsi="Times New Roman" w:cs="Times New Roman"/>
                <w:sz w:val="20"/>
                <w:szCs w:val="20"/>
              </w:rPr>
            </w:pPr>
          </w:p>
        </w:tc>
        <w:tc>
          <w:tcPr>
            <w:tcW w:w="425" w:type="dxa"/>
          </w:tcPr>
          <w:p w14:paraId="224DB1FB"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808080"/>
          </w:tcPr>
          <w:p w14:paraId="19B1AC0C" w14:textId="77777777" w:rsidR="00D41C60" w:rsidRPr="008E17C8" w:rsidRDefault="00D41C60" w:rsidP="00B06E6D">
            <w:pPr>
              <w:jc w:val="both"/>
              <w:rPr>
                <w:rFonts w:ascii="Times New Roman" w:hAnsi="Times New Roman" w:cs="Times New Roman"/>
                <w:sz w:val="20"/>
                <w:szCs w:val="20"/>
              </w:rPr>
            </w:pPr>
          </w:p>
        </w:tc>
        <w:tc>
          <w:tcPr>
            <w:tcW w:w="1276" w:type="dxa"/>
            <w:shd w:val="clear" w:color="auto" w:fill="808080"/>
          </w:tcPr>
          <w:p w14:paraId="5022153C"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000000"/>
          </w:tcPr>
          <w:p w14:paraId="46958693" w14:textId="77777777" w:rsidR="00D41C60" w:rsidRPr="008E17C8" w:rsidRDefault="00D41C60" w:rsidP="00B06E6D">
            <w:pPr>
              <w:jc w:val="both"/>
              <w:rPr>
                <w:rFonts w:ascii="Times New Roman" w:hAnsi="Times New Roman" w:cs="Times New Roman"/>
                <w:sz w:val="20"/>
                <w:szCs w:val="20"/>
              </w:rPr>
            </w:pPr>
          </w:p>
        </w:tc>
        <w:tc>
          <w:tcPr>
            <w:tcW w:w="1417" w:type="dxa"/>
            <w:shd w:val="clear" w:color="auto" w:fill="FFC000"/>
          </w:tcPr>
          <w:p w14:paraId="71587ED4" w14:textId="77777777" w:rsidR="00D41C60" w:rsidRPr="008E17C8" w:rsidRDefault="00D41C60" w:rsidP="00B06E6D">
            <w:pPr>
              <w:jc w:val="both"/>
              <w:rPr>
                <w:rFonts w:ascii="Times New Roman" w:hAnsi="Times New Roman" w:cs="Times New Roman"/>
                <w:sz w:val="20"/>
                <w:szCs w:val="20"/>
              </w:rPr>
            </w:pPr>
          </w:p>
        </w:tc>
        <w:tc>
          <w:tcPr>
            <w:tcW w:w="1593" w:type="dxa"/>
          </w:tcPr>
          <w:p w14:paraId="6B068B84" w14:textId="77777777" w:rsidR="00D41C60" w:rsidRPr="008E17C8" w:rsidRDefault="00D41C60" w:rsidP="00B06E6D">
            <w:pPr>
              <w:jc w:val="both"/>
              <w:rPr>
                <w:rFonts w:ascii="Times New Roman" w:hAnsi="Times New Roman" w:cs="Times New Roman"/>
                <w:sz w:val="20"/>
                <w:szCs w:val="20"/>
              </w:rPr>
            </w:pPr>
          </w:p>
        </w:tc>
      </w:tr>
      <w:tr w:rsidR="00B06E6D" w:rsidRPr="008E17C8" w14:paraId="4428467E" w14:textId="77777777" w:rsidTr="00B06E6D">
        <w:tc>
          <w:tcPr>
            <w:tcW w:w="421" w:type="dxa"/>
          </w:tcPr>
          <w:p w14:paraId="62A4BB59"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16</w:t>
            </w:r>
          </w:p>
        </w:tc>
        <w:tc>
          <w:tcPr>
            <w:tcW w:w="1280" w:type="dxa"/>
          </w:tcPr>
          <w:p w14:paraId="64B43E57" w14:textId="77777777" w:rsidR="00D41C60" w:rsidRPr="008E17C8" w:rsidRDefault="00D41C60" w:rsidP="00D41C60">
            <w:pPr>
              <w:pStyle w:val="Default"/>
              <w:rPr>
                <w:sz w:val="18"/>
                <w:szCs w:val="20"/>
              </w:rPr>
            </w:pPr>
            <w:r w:rsidRPr="008E17C8">
              <w:rPr>
                <w:iCs/>
                <w:sz w:val="18"/>
                <w:szCs w:val="20"/>
              </w:rPr>
              <w:t xml:space="preserve">Banki centralne </w:t>
            </w:r>
          </w:p>
          <w:p w14:paraId="71C876DB" w14:textId="77777777" w:rsidR="00D41C60" w:rsidRPr="008E17C8" w:rsidRDefault="00D41C60" w:rsidP="00D41C60">
            <w:pPr>
              <w:rPr>
                <w:rFonts w:ascii="Times New Roman" w:hAnsi="Times New Roman" w:cs="Times New Roman"/>
                <w:sz w:val="18"/>
                <w:szCs w:val="20"/>
              </w:rPr>
            </w:pPr>
          </w:p>
        </w:tc>
        <w:tc>
          <w:tcPr>
            <w:tcW w:w="426" w:type="dxa"/>
            <w:shd w:val="clear" w:color="auto" w:fill="FFC000"/>
          </w:tcPr>
          <w:p w14:paraId="328494F0"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23528BE3" w14:textId="77777777" w:rsidR="00D41C60" w:rsidRPr="008E17C8" w:rsidRDefault="00D41C60" w:rsidP="00B06E6D">
            <w:pPr>
              <w:jc w:val="both"/>
              <w:rPr>
                <w:rFonts w:ascii="Times New Roman" w:hAnsi="Times New Roman" w:cs="Times New Roman"/>
                <w:sz w:val="20"/>
                <w:szCs w:val="20"/>
              </w:rPr>
            </w:pPr>
          </w:p>
        </w:tc>
        <w:tc>
          <w:tcPr>
            <w:tcW w:w="709" w:type="dxa"/>
            <w:shd w:val="clear" w:color="auto" w:fill="808080"/>
          </w:tcPr>
          <w:p w14:paraId="30CD4EFE" w14:textId="77777777" w:rsidR="00D41C60" w:rsidRPr="008E17C8" w:rsidRDefault="00D41C60" w:rsidP="00B06E6D">
            <w:pPr>
              <w:jc w:val="both"/>
              <w:rPr>
                <w:rFonts w:ascii="Times New Roman" w:hAnsi="Times New Roman" w:cs="Times New Roman"/>
                <w:sz w:val="20"/>
                <w:szCs w:val="20"/>
              </w:rPr>
            </w:pPr>
          </w:p>
        </w:tc>
        <w:tc>
          <w:tcPr>
            <w:tcW w:w="284" w:type="dxa"/>
            <w:shd w:val="clear" w:color="auto" w:fill="FFC000"/>
          </w:tcPr>
          <w:p w14:paraId="4F5C43B5"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219E6400" w14:textId="77777777" w:rsidR="00D41C60" w:rsidRPr="008E17C8" w:rsidRDefault="00D41C60" w:rsidP="00B06E6D">
            <w:pPr>
              <w:jc w:val="both"/>
              <w:rPr>
                <w:rFonts w:ascii="Times New Roman" w:hAnsi="Times New Roman" w:cs="Times New Roman"/>
                <w:sz w:val="20"/>
                <w:szCs w:val="20"/>
              </w:rPr>
            </w:pPr>
          </w:p>
        </w:tc>
        <w:tc>
          <w:tcPr>
            <w:tcW w:w="806" w:type="dxa"/>
            <w:shd w:val="clear" w:color="auto" w:fill="808080"/>
          </w:tcPr>
          <w:p w14:paraId="546F2765" w14:textId="77777777" w:rsidR="00D41C60" w:rsidRPr="008E17C8" w:rsidRDefault="00D41C60" w:rsidP="00B06E6D">
            <w:pPr>
              <w:jc w:val="both"/>
              <w:rPr>
                <w:rFonts w:ascii="Times New Roman" w:hAnsi="Times New Roman" w:cs="Times New Roman"/>
                <w:sz w:val="20"/>
                <w:szCs w:val="20"/>
              </w:rPr>
            </w:pPr>
          </w:p>
        </w:tc>
        <w:tc>
          <w:tcPr>
            <w:tcW w:w="236" w:type="dxa"/>
            <w:shd w:val="clear" w:color="auto" w:fill="FFC000"/>
          </w:tcPr>
          <w:p w14:paraId="47472DE6" w14:textId="77777777" w:rsidR="00D41C60" w:rsidRPr="008E17C8" w:rsidRDefault="00D41C60" w:rsidP="00B06E6D">
            <w:pPr>
              <w:jc w:val="both"/>
              <w:rPr>
                <w:rFonts w:ascii="Times New Roman" w:hAnsi="Times New Roman" w:cs="Times New Roman"/>
                <w:sz w:val="20"/>
                <w:szCs w:val="20"/>
              </w:rPr>
            </w:pPr>
          </w:p>
        </w:tc>
        <w:tc>
          <w:tcPr>
            <w:tcW w:w="1085" w:type="dxa"/>
            <w:shd w:val="clear" w:color="auto" w:fill="808080"/>
          </w:tcPr>
          <w:p w14:paraId="10B8B317"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808080"/>
          </w:tcPr>
          <w:p w14:paraId="18BB275D" w14:textId="77777777" w:rsidR="00D41C60" w:rsidRPr="008E17C8" w:rsidRDefault="00D41C60" w:rsidP="00B06E6D">
            <w:pPr>
              <w:jc w:val="both"/>
              <w:rPr>
                <w:rFonts w:ascii="Times New Roman" w:hAnsi="Times New Roman" w:cs="Times New Roman"/>
                <w:sz w:val="20"/>
                <w:szCs w:val="20"/>
              </w:rPr>
            </w:pPr>
          </w:p>
        </w:tc>
        <w:tc>
          <w:tcPr>
            <w:tcW w:w="425" w:type="dxa"/>
            <w:shd w:val="clear" w:color="auto" w:fill="FFC000"/>
          </w:tcPr>
          <w:p w14:paraId="5EE1E27D"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808080"/>
          </w:tcPr>
          <w:p w14:paraId="1ABACF19" w14:textId="77777777" w:rsidR="00D41C60" w:rsidRPr="008E17C8" w:rsidRDefault="00D41C60" w:rsidP="00B06E6D">
            <w:pPr>
              <w:jc w:val="both"/>
              <w:rPr>
                <w:rFonts w:ascii="Times New Roman" w:hAnsi="Times New Roman" w:cs="Times New Roman"/>
                <w:sz w:val="20"/>
                <w:szCs w:val="20"/>
              </w:rPr>
            </w:pPr>
          </w:p>
        </w:tc>
        <w:tc>
          <w:tcPr>
            <w:tcW w:w="1276" w:type="dxa"/>
            <w:shd w:val="clear" w:color="auto" w:fill="808080"/>
          </w:tcPr>
          <w:p w14:paraId="0BA7A4F6"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000000"/>
          </w:tcPr>
          <w:p w14:paraId="397031A8" w14:textId="77777777" w:rsidR="00D41C60" w:rsidRPr="008E17C8" w:rsidRDefault="00D41C60" w:rsidP="00B06E6D">
            <w:pPr>
              <w:jc w:val="both"/>
              <w:rPr>
                <w:rFonts w:ascii="Times New Roman" w:hAnsi="Times New Roman" w:cs="Times New Roman"/>
                <w:sz w:val="20"/>
                <w:szCs w:val="20"/>
              </w:rPr>
            </w:pPr>
          </w:p>
        </w:tc>
        <w:tc>
          <w:tcPr>
            <w:tcW w:w="1417" w:type="dxa"/>
            <w:shd w:val="clear" w:color="auto" w:fill="FFC000"/>
          </w:tcPr>
          <w:p w14:paraId="202DCE07" w14:textId="77777777" w:rsidR="00D41C60" w:rsidRPr="008E17C8" w:rsidRDefault="00D41C60" w:rsidP="00B06E6D">
            <w:pPr>
              <w:jc w:val="both"/>
              <w:rPr>
                <w:rFonts w:ascii="Times New Roman" w:hAnsi="Times New Roman" w:cs="Times New Roman"/>
                <w:sz w:val="20"/>
                <w:szCs w:val="20"/>
              </w:rPr>
            </w:pPr>
          </w:p>
        </w:tc>
        <w:tc>
          <w:tcPr>
            <w:tcW w:w="1593" w:type="dxa"/>
            <w:shd w:val="clear" w:color="auto" w:fill="FFC000"/>
          </w:tcPr>
          <w:p w14:paraId="1845ADC6" w14:textId="77777777" w:rsidR="00D41C60" w:rsidRPr="008E17C8" w:rsidRDefault="00D41C60" w:rsidP="00B06E6D">
            <w:pPr>
              <w:jc w:val="both"/>
              <w:rPr>
                <w:rFonts w:ascii="Times New Roman" w:hAnsi="Times New Roman" w:cs="Times New Roman"/>
                <w:sz w:val="20"/>
                <w:szCs w:val="20"/>
              </w:rPr>
            </w:pPr>
          </w:p>
        </w:tc>
      </w:tr>
      <w:tr w:rsidR="00B06E6D" w:rsidRPr="008E17C8" w14:paraId="78C318BA" w14:textId="77777777" w:rsidTr="00B06E6D">
        <w:tc>
          <w:tcPr>
            <w:tcW w:w="421" w:type="dxa"/>
          </w:tcPr>
          <w:p w14:paraId="58252724"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17</w:t>
            </w:r>
          </w:p>
        </w:tc>
        <w:tc>
          <w:tcPr>
            <w:tcW w:w="1280" w:type="dxa"/>
          </w:tcPr>
          <w:p w14:paraId="245B61FA" w14:textId="77777777" w:rsidR="00D41C60" w:rsidRPr="008E17C8" w:rsidRDefault="00D41C60" w:rsidP="00D41C60">
            <w:pPr>
              <w:pStyle w:val="Default"/>
              <w:rPr>
                <w:sz w:val="18"/>
                <w:szCs w:val="20"/>
              </w:rPr>
            </w:pPr>
            <w:r w:rsidRPr="008E17C8">
              <w:rPr>
                <w:iCs/>
                <w:sz w:val="18"/>
                <w:szCs w:val="20"/>
              </w:rPr>
              <w:t xml:space="preserve">Instytucje rządowe </w:t>
            </w:r>
          </w:p>
          <w:p w14:paraId="60CA7BC0" w14:textId="77777777" w:rsidR="00D41C60" w:rsidRPr="008E17C8" w:rsidRDefault="00D41C60" w:rsidP="00D41C60">
            <w:pPr>
              <w:rPr>
                <w:rFonts w:ascii="Times New Roman" w:hAnsi="Times New Roman" w:cs="Times New Roman"/>
                <w:sz w:val="18"/>
                <w:szCs w:val="20"/>
              </w:rPr>
            </w:pPr>
          </w:p>
        </w:tc>
        <w:tc>
          <w:tcPr>
            <w:tcW w:w="426" w:type="dxa"/>
            <w:shd w:val="clear" w:color="auto" w:fill="FFC000"/>
          </w:tcPr>
          <w:p w14:paraId="52FA5CF9"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69CDAFB2" w14:textId="77777777" w:rsidR="00D41C60" w:rsidRPr="008E17C8" w:rsidRDefault="00D41C60" w:rsidP="00B06E6D">
            <w:pPr>
              <w:jc w:val="both"/>
              <w:rPr>
                <w:rFonts w:ascii="Times New Roman" w:hAnsi="Times New Roman" w:cs="Times New Roman"/>
                <w:sz w:val="20"/>
                <w:szCs w:val="20"/>
              </w:rPr>
            </w:pPr>
          </w:p>
        </w:tc>
        <w:tc>
          <w:tcPr>
            <w:tcW w:w="709" w:type="dxa"/>
            <w:shd w:val="clear" w:color="auto" w:fill="808080"/>
          </w:tcPr>
          <w:p w14:paraId="12DA2771" w14:textId="77777777" w:rsidR="00D41C60" w:rsidRPr="008E17C8" w:rsidRDefault="00D41C60" w:rsidP="00B06E6D">
            <w:pPr>
              <w:jc w:val="both"/>
              <w:rPr>
                <w:rFonts w:ascii="Times New Roman" w:hAnsi="Times New Roman" w:cs="Times New Roman"/>
                <w:sz w:val="20"/>
                <w:szCs w:val="20"/>
              </w:rPr>
            </w:pPr>
          </w:p>
        </w:tc>
        <w:tc>
          <w:tcPr>
            <w:tcW w:w="284" w:type="dxa"/>
            <w:shd w:val="clear" w:color="auto" w:fill="FFC000"/>
          </w:tcPr>
          <w:p w14:paraId="5627E37B"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534EBFD2" w14:textId="77777777" w:rsidR="00D41C60" w:rsidRPr="008E17C8" w:rsidRDefault="00D41C60" w:rsidP="00B06E6D">
            <w:pPr>
              <w:jc w:val="both"/>
              <w:rPr>
                <w:rFonts w:ascii="Times New Roman" w:hAnsi="Times New Roman" w:cs="Times New Roman"/>
                <w:sz w:val="20"/>
                <w:szCs w:val="20"/>
              </w:rPr>
            </w:pPr>
          </w:p>
        </w:tc>
        <w:tc>
          <w:tcPr>
            <w:tcW w:w="806" w:type="dxa"/>
            <w:shd w:val="clear" w:color="auto" w:fill="808080"/>
          </w:tcPr>
          <w:p w14:paraId="0F21C8D6" w14:textId="77777777" w:rsidR="00D41C60" w:rsidRPr="008E17C8" w:rsidRDefault="00D41C60" w:rsidP="00B06E6D">
            <w:pPr>
              <w:jc w:val="both"/>
              <w:rPr>
                <w:rFonts w:ascii="Times New Roman" w:hAnsi="Times New Roman" w:cs="Times New Roman"/>
                <w:sz w:val="20"/>
                <w:szCs w:val="20"/>
              </w:rPr>
            </w:pPr>
          </w:p>
        </w:tc>
        <w:tc>
          <w:tcPr>
            <w:tcW w:w="236" w:type="dxa"/>
            <w:shd w:val="clear" w:color="auto" w:fill="FFC000"/>
          </w:tcPr>
          <w:p w14:paraId="1E2282A6" w14:textId="77777777" w:rsidR="00D41C60" w:rsidRPr="008E17C8" w:rsidRDefault="00D41C60" w:rsidP="00B06E6D">
            <w:pPr>
              <w:jc w:val="both"/>
              <w:rPr>
                <w:rFonts w:ascii="Times New Roman" w:hAnsi="Times New Roman" w:cs="Times New Roman"/>
                <w:sz w:val="20"/>
                <w:szCs w:val="20"/>
              </w:rPr>
            </w:pPr>
          </w:p>
        </w:tc>
        <w:tc>
          <w:tcPr>
            <w:tcW w:w="1085" w:type="dxa"/>
            <w:shd w:val="clear" w:color="auto" w:fill="808080"/>
          </w:tcPr>
          <w:p w14:paraId="2CFAEA08"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808080"/>
          </w:tcPr>
          <w:p w14:paraId="30F0F293" w14:textId="77777777" w:rsidR="00D41C60" w:rsidRPr="008E17C8" w:rsidRDefault="00D41C60" w:rsidP="00B06E6D">
            <w:pPr>
              <w:jc w:val="both"/>
              <w:rPr>
                <w:rFonts w:ascii="Times New Roman" w:hAnsi="Times New Roman" w:cs="Times New Roman"/>
                <w:sz w:val="20"/>
                <w:szCs w:val="20"/>
              </w:rPr>
            </w:pPr>
          </w:p>
        </w:tc>
        <w:tc>
          <w:tcPr>
            <w:tcW w:w="425" w:type="dxa"/>
            <w:shd w:val="clear" w:color="auto" w:fill="FFC000"/>
          </w:tcPr>
          <w:p w14:paraId="2696B7B0"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808080"/>
          </w:tcPr>
          <w:p w14:paraId="7F119CF2" w14:textId="77777777" w:rsidR="00D41C60" w:rsidRPr="008E17C8" w:rsidRDefault="00D41C60" w:rsidP="00B06E6D">
            <w:pPr>
              <w:jc w:val="both"/>
              <w:rPr>
                <w:rFonts w:ascii="Times New Roman" w:hAnsi="Times New Roman" w:cs="Times New Roman"/>
                <w:sz w:val="20"/>
                <w:szCs w:val="20"/>
              </w:rPr>
            </w:pPr>
          </w:p>
        </w:tc>
        <w:tc>
          <w:tcPr>
            <w:tcW w:w="1276" w:type="dxa"/>
            <w:shd w:val="clear" w:color="auto" w:fill="808080"/>
          </w:tcPr>
          <w:p w14:paraId="61BEF117"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000000"/>
          </w:tcPr>
          <w:p w14:paraId="7533DEE3" w14:textId="77777777" w:rsidR="00D41C60" w:rsidRPr="008E17C8" w:rsidRDefault="00D41C60" w:rsidP="00B06E6D">
            <w:pPr>
              <w:jc w:val="both"/>
              <w:rPr>
                <w:rFonts w:ascii="Times New Roman" w:hAnsi="Times New Roman" w:cs="Times New Roman"/>
                <w:sz w:val="20"/>
                <w:szCs w:val="20"/>
              </w:rPr>
            </w:pPr>
          </w:p>
        </w:tc>
        <w:tc>
          <w:tcPr>
            <w:tcW w:w="1417" w:type="dxa"/>
            <w:shd w:val="clear" w:color="auto" w:fill="FFC000"/>
          </w:tcPr>
          <w:p w14:paraId="61FA9B01" w14:textId="77777777" w:rsidR="00D41C60" w:rsidRPr="008E17C8" w:rsidRDefault="00D41C60" w:rsidP="00B06E6D">
            <w:pPr>
              <w:jc w:val="both"/>
              <w:rPr>
                <w:rFonts w:ascii="Times New Roman" w:hAnsi="Times New Roman" w:cs="Times New Roman"/>
                <w:sz w:val="20"/>
                <w:szCs w:val="20"/>
              </w:rPr>
            </w:pPr>
          </w:p>
        </w:tc>
        <w:tc>
          <w:tcPr>
            <w:tcW w:w="1593" w:type="dxa"/>
            <w:shd w:val="clear" w:color="auto" w:fill="FFC000"/>
          </w:tcPr>
          <w:p w14:paraId="66196EF8" w14:textId="77777777" w:rsidR="00D41C60" w:rsidRPr="008E17C8" w:rsidRDefault="00D41C60" w:rsidP="00B06E6D">
            <w:pPr>
              <w:jc w:val="both"/>
              <w:rPr>
                <w:rFonts w:ascii="Times New Roman" w:hAnsi="Times New Roman" w:cs="Times New Roman"/>
                <w:sz w:val="20"/>
                <w:szCs w:val="20"/>
              </w:rPr>
            </w:pPr>
          </w:p>
        </w:tc>
      </w:tr>
      <w:tr w:rsidR="00B06E6D" w:rsidRPr="008E17C8" w14:paraId="698751A2" w14:textId="77777777" w:rsidTr="00B06E6D">
        <w:tc>
          <w:tcPr>
            <w:tcW w:w="421" w:type="dxa"/>
          </w:tcPr>
          <w:p w14:paraId="6F988257"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18</w:t>
            </w:r>
          </w:p>
        </w:tc>
        <w:tc>
          <w:tcPr>
            <w:tcW w:w="1280" w:type="dxa"/>
          </w:tcPr>
          <w:p w14:paraId="48CD3DAA" w14:textId="77777777" w:rsidR="00D41C60" w:rsidRPr="008E17C8" w:rsidRDefault="00D41C60" w:rsidP="00D41C60">
            <w:pPr>
              <w:pStyle w:val="Default"/>
              <w:rPr>
                <w:sz w:val="18"/>
                <w:szCs w:val="20"/>
              </w:rPr>
            </w:pPr>
            <w:r w:rsidRPr="008E17C8">
              <w:rPr>
                <w:iCs/>
                <w:sz w:val="18"/>
                <w:szCs w:val="20"/>
              </w:rPr>
              <w:t xml:space="preserve">Instytucje kredytowe </w:t>
            </w:r>
          </w:p>
          <w:p w14:paraId="04C3788E" w14:textId="77777777" w:rsidR="00D41C60" w:rsidRPr="008E17C8" w:rsidRDefault="00D41C60" w:rsidP="00D41C60">
            <w:pPr>
              <w:rPr>
                <w:rFonts w:ascii="Times New Roman" w:hAnsi="Times New Roman" w:cs="Times New Roman"/>
                <w:sz w:val="18"/>
                <w:szCs w:val="20"/>
              </w:rPr>
            </w:pPr>
          </w:p>
        </w:tc>
        <w:tc>
          <w:tcPr>
            <w:tcW w:w="426" w:type="dxa"/>
            <w:shd w:val="clear" w:color="auto" w:fill="FFC000"/>
          </w:tcPr>
          <w:p w14:paraId="59F4923C"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169AFFE9" w14:textId="77777777" w:rsidR="00D41C60" w:rsidRPr="008E17C8" w:rsidRDefault="00D41C60" w:rsidP="00B06E6D">
            <w:pPr>
              <w:jc w:val="both"/>
              <w:rPr>
                <w:rFonts w:ascii="Times New Roman" w:hAnsi="Times New Roman" w:cs="Times New Roman"/>
                <w:sz w:val="20"/>
                <w:szCs w:val="20"/>
              </w:rPr>
            </w:pPr>
          </w:p>
        </w:tc>
        <w:tc>
          <w:tcPr>
            <w:tcW w:w="709" w:type="dxa"/>
            <w:shd w:val="clear" w:color="auto" w:fill="808080"/>
          </w:tcPr>
          <w:p w14:paraId="535847A3" w14:textId="77777777" w:rsidR="00D41C60" w:rsidRPr="008E17C8" w:rsidRDefault="00D41C60" w:rsidP="00B06E6D">
            <w:pPr>
              <w:jc w:val="both"/>
              <w:rPr>
                <w:rFonts w:ascii="Times New Roman" w:hAnsi="Times New Roman" w:cs="Times New Roman"/>
                <w:sz w:val="20"/>
                <w:szCs w:val="20"/>
              </w:rPr>
            </w:pPr>
          </w:p>
        </w:tc>
        <w:tc>
          <w:tcPr>
            <w:tcW w:w="284" w:type="dxa"/>
            <w:shd w:val="clear" w:color="auto" w:fill="FFC000"/>
          </w:tcPr>
          <w:p w14:paraId="7CC128AE"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19428DB4" w14:textId="77777777" w:rsidR="00D41C60" w:rsidRPr="008E17C8" w:rsidRDefault="00D41C60" w:rsidP="00B06E6D">
            <w:pPr>
              <w:jc w:val="both"/>
              <w:rPr>
                <w:rFonts w:ascii="Times New Roman" w:hAnsi="Times New Roman" w:cs="Times New Roman"/>
                <w:sz w:val="20"/>
                <w:szCs w:val="20"/>
              </w:rPr>
            </w:pPr>
          </w:p>
        </w:tc>
        <w:tc>
          <w:tcPr>
            <w:tcW w:w="806" w:type="dxa"/>
            <w:shd w:val="clear" w:color="auto" w:fill="808080"/>
          </w:tcPr>
          <w:p w14:paraId="2942FAD9" w14:textId="77777777" w:rsidR="00D41C60" w:rsidRPr="008E17C8" w:rsidRDefault="00D41C60" w:rsidP="00B06E6D">
            <w:pPr>
              <w:jc w:val="both"/>
              <w:rPr>
                <w:rFonts w:ascii="Times New Roman" w:hAnsi="Times New Roman" w:cs="Times New Roman"/>
                <w:sz w:val="20"/>
                <w:szCs w:val="20"/>
              </w:rPr>
            </w:pPr>
          </w:p>
        </w:tc>
        <w:tc>
          <w:tcPr>
            <w:tcW w:w="236" w:type="dxa"/>
            <w:shd w:val="clear" w:color="auto" w:fill="FFC000"/>
          </w:tcPr>
          <w:p w14:paraId="099E231D" w14:textId="77777777" w:rsidR="00D41C60" w:rsidRPr="008E17C8" w:rsidRDefault="00D41C60" w:rsidP="00B06E6D">
            <w:pPr>
              <w:jc w:val="both"/>
              <w:rPr>
                <w:rFonts w:ascii="Times New Roman" w:hAnsi="Times New Roman" w:cs="Times New Roman"/>
                <w:sz w:val="20"/>
                <w:szCs w:val="20"/>
              </w:rPr>
            </w:pPr>
          </w:p>
        </w:tc>
        <w:tc>
          <w:tcPr>
            <w:tcW w:w="1085" w:type="dxa"/>
            <w:shd w:val="clear" w:color="auto" w:fill="808080"/>
          </w:tcPr>
          <w:p w14:paraId="12B5BF91"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808080"/>
          </w:tcPr>
          <w:p w14:paraId="6182E1B5" w14:textId="77777777" w:rsidR="00D41C60" w:rsidRPr="008E17C8" w:rsidRDefault="00D41C60" w:rsidP="00B06E6D">
            <w:pPr>
              <w:jc w:val="both"/>
              <w:rPr>
                <w:rFonts w:ascii="Times New Roman" w:hAnsi="Times New Roman" w:cs="Times New Roman"/>
                <w:sz w:val="20"/>
                <w:szCs w:val="20"/>
              </w:rPr>
            </w:pPr>
          </w:p>
        </w:tc>
        <w:tc>
          <w:tcPr>
            <w:tcW w:w="425" w:type="dxa"/>
            <w:shd w:val="clear" w:color="auto" w:fill="FFC000"/>
          </w:tcPr>
          <w:p w14:paraId="7519DA42"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808080"/>
          </w:tcPr>
          <w:p w14:paraId="7BD6F954" w14:textId="77777777" w:rsidR="00D41C60" w:rsidRPr="008E17C8" w:rsidRDefault="00D41C60" w:rsidP="00B06E6D">
            <w:pPr>
              <w:jc w:val="both"/>
              <w:rPr>
                <w:rFonts w:ascii="Times New Roman" w:hAnsi="Times New Roman" w:cs="Times New Roman"/>
                <w:sz w:val="20"/>
                <w:szCs w:val="20"/>
              </w:rPr>
            </w:pPr>
          </w:p>
        </w:tc>
        <w:tc>
          <w:tcPr>
            <w:tcW w:w="1276" w:type="dxa"/>
            <w:shd w:val="clear" w:color="auto" w:fill="808080"/>
          </w:tcPr>
          <w:p w14:paraId="01280654"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000000"/>
          </w:tcPr>
          <w:p w14:paraId="77876CE6" w14:textId="77777777" w:rsidR="00D41C60" w:rsidRPr="008E17C8" w:rsidRDefault="00D41C60" w:rsidP="00B06E6D">
            <w:pPr>
              <w:jc w:val="both"/>
              <w:rPr>
                <w:rFonts w:ascii="Times New Roman" w:hAnsi="Times New Roman" w:cs="Times New Roman"/>
                <w:sz w:val="20"/>
                <w:szCs w:val="20"/>
              </w:rPr>
            </w:pPr>
          </w:p>
        </w:tc>
        <w:tc>
          <w:tcPr>
            <w:tcW w:w="1417" w:type="dxa"/>
            <w:shd w:val="clear" w:color="auto" w:fill="FFC000"/>
          </w:tcPr>
          <w:p w14:paraId="2169B017" w14:textId="77777777" w:rsidR="00D41C60" w:rsidRPr="008E17C8" w:rsidRDefault="00D41C60" w:rsidP="00B06E6D">
            <w:pPr>
              <w:jc w:val="both"/>
              <w:rPr>
                <w:rFonts w:ascii="Times New Roman" w:hAnsi="Times New Roman" w:cs="Times New Roman"/>
                <w:sz w:val="20"/>
                <w:szCs w:val="20"/>
              </w:rPr>
            </w:pPr>
          </w:p>
        </w:tc>
        <w:tc>
          <w:tcPr>
            <w:tcW w:w="1593" w:type="dxa"/>
            <w:shd w:val="clear" w:color="auto" w:fill="FFC000"/>
          </w:tcPr>
          <w:p w14:paraId="6E951D06" w14:textId="77777777" w:rsidR="00D41C60" w:rsidRPr="008E17C8" w:rsidRDefault="00D41C60" w:rsidP="00B06E6D">
            <w:pPr>
              <w:jc w:val="both"/>
              <w:rPr>
                <w:rFonts w:ascii="Times New Roman" w:hAnsi="Times New Roman" w:cs="Times New Roman"/>
                <w:sz w:val="20"/>
                <w:szCs w:val="20"/>
              </w:rPr>
            </w:pPr>
          </w:p>
        </w:tc>
      </w:tr>
      <w:tr w:rsidR="00B06E6D" w:rsidRPr="008E17C8" w14:paraId="7475F6F0" w14:textId="77777777" w:rsidTr="00B06E6D">
        <w:tc>
          <w:tcPr>
            <w:tcW w:w="421" w:type="dxa"/>
          </w:tcPr>
          <w:p w14:paraId="0753A7C5"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19</w:t>
            </w:r>
          </w:p>
        </w:tc>
        <w:tc>
          <w:tcPr>
            <w:tcW w:w="1280" w:type="dxa"/>
          </w:tcPr>
          <w:p w14:paraId="2F57E3F8" w14:textId="77777777" w:rsidR="00D41C60" w:rsidRPr="008E17C8" w:rsidRDefault="00D41C60" w:rsidP="00D41C60">
            <w:pPr>
              <w:pStyle w:val="Default"/>
              <w:rPr>
                <w:sz w:val="18"/>
                <w:szCs w:val="20"/>
              </w:rPr>
            </w:pPr>
            <w:r w:rsidRPr="008E17C8">
              <w:rPr>
                <w:iCs/>
                <w:sz w:val="18"/>
                <w:szCs w:val="20"/>
              </w:rPr>
              <w:t xml:space="preserve">Inne instytucje finansowe </w:t>
            </w:r>
          </w:p>
          <w:p w14:paraId="59D16BCC" w14:textId="77777777" w:rsidR="00D41C60" w:rsidRPr="008E17C8" w:rsidRDefault="00D41C60" w:rsidP="00D41C60">
            <w:pPr>
              <w:rPr>
                <w:rFonts w:ascii="Times New Roman" w:hAnsi="Times New Roman" w:cs="Times New Roman"/>
                <w:sz w:val="18"/>
                <w:szCs w:val="20"/>
              </w:rPr>
            </w:pPr>
          </w:p>
        </w:tc>
        <w:tc>
          <w:tcPr>
            <w:tcW w:w="426" w:type="dxa"/>
            <w:shd w:val="clear" w:color="auto" w:fill="FFC000"/>
          </w:tcPr>
          <w:p w14:paraId="52214E9E"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62D1F79C" w14:textId="77777777" w:rsidR="00D41C60" w:rsidRPr="008E17C8" w:rsidRDefault="00D41C60" w:rsidP="00B06E6D">
            <w:pPr>
              <w:jc w:val="both"/>
              <w:rPr>
                <w:rFonts w:ascii="Times New Roman" w:hAnsi="Times New Roman" w:cs="Times New Roman"/>
                <w:sz w:val="20"/>
                <w:szCs w:val="20"/>
              </w:rPr>
            </w:pPr>
          </w:p>
        </w:tc>
        <w:tc>
          <w:tcPr>
            <w:tcW w:w="709" w:type="dxa"/>
            <w:shd w:val="clear" w:color="auto" w:fill="808080"/>
          </w:tcPr>
          <w:p w14:paraId="2C151150" w14:textId="77777777" w:rsidR="00D41C60" w:rsidRPr="008E17C8" w:rsidRDefault="00D41C60" w:rsidP="00B06E6D">
            <w:pPr>
              <w:jc w:val="both"/>
              <w:rPr>
                <w:rFonts w:ascii="Times New Roman" w:hAnsi="Times New Roman" w:cs="Times New Roman"/>
                <w:sz w:val="20"/>
                <w:szCs w:val="20"/>
              </w:rPr>
            </w:pPr>
          </w:p>
        </w:tc>
        <w:tc>
          <w:tcPr>
            <w:tcW w:w="284" w:type="dxa"/>
            <w:shd w:val="clear" w:color="auto" w:fill="FFC000"/>
          </w:tcPr>
          <w:p w14:paraId="3F45E448"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77537D2A" w14:textId="77777777" w:rsidR="00D41C60" w:rsidRPr="008E17C8" w:rsidRDefault="00D41C60" w:rsidP="00B06E6D">
            <w:pPr>
              <w:jc w:val="both"/>
              <w:rPr>
                <w:rFonts w:ascii="Times New Roman" w:hAnsi="Times New Roman" w:cs="Times New Roman"/>
                <w:sz w:val="20"/>
                <w:szCs w:val="20"/>
              </w:rPr>
            </w:pPr>
          </w:p>
        </w:tc>
        <w:tc>
          <w:tcPr>
            <w:tcW w:w="806" w:type="dxa"/>
            <w:shd w:val="clear" w:color="auto" w:fill="808080"/>
          </w:tcPr>
          <w:p w14:paraId="58F59A62" w14:textId="77777777" w:rsidR="00D41C60" w:rsidRPr="008E17C8" w:rsidRDefault="00D41C60" w:rsidP="00B06E6D">
            <w:pPr>
              <w:jc w:val="both"/>
              <w:rPr>
                <w:rFonts w:ascii="Times New Roman" w:hAnsi="Times New Roman" w:cs="Times New Roman"/>
                <w:sz w:val="20"/>
                <w:szCs w:val="20"/>
              </w:rPr>
            </w:pPr>
          </w:p>
        </w:tc>
        <w:tc>
          <w:tcPr>
            <w:tcW w:w="236" w:type="dxa"/>
            <w:shd w:val="clear" w:color="auto" w:fill="FFC000"/>
          </w:tcPr>
          <w:p w14:paraId="6130919E" w14:textId="77777777" w:rsidR="00D41C60" w:rsidRPr="008E17C8" w:rsidRDefault="00D41C60" w:rsidP="00B06E6D">
            <w:pPr>
              <w:jc w:val="both"/>
              <w:rPr>
                <w:rFonts w:ascii="Times New Roman" w:hAnsi="Times New Roman" w:cs="Times New Roman"/>
                <w:sz w:val="20"/>
                <w:szCs w:val="20"/>
              </w:rPr>
            </w:pPr>
          </w:p>
        </w:tc>
        <w:tc>
          <w:tcPr>
            <w:tcW w:w="1085" w:type="dxa"/>
            <w:shd w:val="clear" w:color="auto" w:fill="808080"/>
          </w:tcPr>
          <w:p w14:paraId="1F4F4972"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808080"/>
          </w:tcPr>
          <w:p w14:paraId="3FC1553C" w14:textId="77777777" w:rsidR="00D41C60" w:rsidRPr="008E17C8" w:rsidRDefault="00D41C60" w:rsidP="00B06E6D">
            <w:pPr>
              <w:jc w:val="both"/>
              <w:rPr>
                <w:rFonts w:ascii="Times New Roman" w:hAnsi="Times New Roman" w:cs="Times New Roman"/>
                <w:sz w:val="20"/>
                <w:szCs w:val="20"/>
              </w:rPr>
            </w:pPr>
          </w:p>
        </w:tc>
        <w:tc>
          <w:tcPr>
            <w:tcW w:w="425" w:type="dxa"/>
            <w:shd w:val="clear" w:color="auto" w:fill="FFC000"/>
          </w:tcPr>
          <w:p w14:paraId="76EFA8D3"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808080"/>
          </w:tcPr>
          <w:p w14:paraId="632C922C" w14:textId="77777777" w:rsidR="00D41C60" w:rsidRPr="008E17C8" w:rsidRDefault="00D41C60" w:rsidP="00B06E6D">
            <w:pPr>
              <w:jc w:val="both"/>
              <w:rPr>
                <w:rFonts w:ascii="Times New Roman" w:hAnsi="Times New Roman" w:cs="Times New Roman"/>
                <w:sz w:val="20"/>
                <w:szCs w:val="20"/>
              </w:rPr>
            </w:pPr>
          </w:p>
        </w:tc>
        <w:tc>
          <w:tcPr>
            <w:tcW w:w="1276" w:type="dxa"/>
            <w:shd w:val="clear" w:color="auto" w:fill="808080"/>
          </w:tcPr>
          <w:p w14:paraId="3FF09500"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000000"/>
          </w:tcPr>
          <w:p w14:paraId="0B90F3E0" w14:textId="77777777" w:rsidR="00D41C60" w:rsidRPr="008E17C8" w:rsidRDefault="00D41C60" w:rsidP="00B06E6D">
            <w:pPr>
              <w:jc w:val="both"/>
              <w:rPr>
                <w:rFonts w:ascii="Times New Roman" w:hAnsi="Times New Roman" w:cs="Times New Roman"/>
                <w:sz w:val="20"/>
                <w:szCs w:val="20"/>
              </w:rPr>
            </w:pPr>
          </w:p>
        </w:tc>
        <w:tc>
          <w:tcPr>
            <w:tcW w:w="1417" w:type="dxa"/>
            <w:shd w:val="clear" w:color="auto" w:fill="FFC000"/>
          </w:tcPr>
          <w:p w14:paraId="52E887CE" w14:textId="77777777" w:rsidR="00D41C60" w:rsidRPr="008E17C8" w:rsidRDefault="00D41C60" w:rsidP="00B06E6D">
            <w:pPr>
              <w:jc w:val="both"/>
              <w:rPr>
                <w:rFonts w:ascii="Times New Roman" w:hAnsi="Times New Roman" w:cs="Times New Roman"/>
                <w:sz w:val="20"/>
                <w:szCs w:val="20"/>
              </w:rPr>
            </w:pPr>
          </w:p>
        </w:tc>
        <w:tc>
          <w:tcPr>
            <w:tcW w:w="1593" w:type="dxa"/>
            <w:shd w:val="clear" w:color="auto" w:fill="FFC000"/>
          </w:tcPr>
          <w:p w14:paraId="3DAEC2DA" w14:textId="77777777" w:rsidR="00D41C60" w:rsidRPr="008E17C8" w:rsidRDefault="00D41C60" w:rsidP="00B06E6D">
            <w:pPr>
              <w:jc w:val="both"/>
              <w:rPr>
                <w:rFonts w:ascii="Times New Roman" w:hAnsi="Times New Roman" w:cs="Times New Roman"/>
                <w:sz w:val="20"/>
                <w:szCs w:val="20"/>
              </w:rPr>
            </w:pPr>
          </w:p>
        </w:tc>
      </w:tr>
      <w:tr w:rsidR="00B06E6D" w:rsidRPr="008E17C8" w14:paraId="1D2F681D" w14:textId="77777777" w:rsidTr="00B06E6D">
        <w:tc>
          <w:tcPr>
            <w:tcW w:w="421" w:type="dxa"/>
          </w:tcPr>
          <w:p w14:paraId="6C8F5BE8"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20</w:t>
            </w:r>
          </w:p>
        </w:tc>
        <w:tc>
          <w:tcPr>
            <w:tcW w:w="1280" w:type="dxa"/>
          </w:tcPr>
          <w:p w14:paraId="52C5C3E6" w14:textId="77777777" w:rsidR="00D41C60" w:rsidRPr="008E17C8" w:rsidRDefault="00D41C60" w:rsidP="00D41C60">
            <w:pPr>
              <w:pStyle w:val="Default"/>
              <w:rPr>
                <w:sz w:val="18"/>
                <w:szCs w:val="20"/>
              </w:rPr>
            </w:pPr>
            <w:r w:rsidRPr="008E17C8">
              <w:rPr>
                <w:iCs/>
                <w:sz w:val="18"/>
                <w:szCs w:val="20"/>
              </w:rPr>
              <w:t xml:space="preserve">Przedsiębiorstwa niefinansowe </w:t>
            </w:r>
          </w:p>
          <w:p w14:paraId="07F928B2" w14:textId="77777777" w:rsidR="00D41C60" w:rsidRPr="008E17C8" w:rsidRDefault="00D41C60" w:rsidP="00D41C60">
            <w:pPr>
              <w:rPr>
                <w:rFonts w:ascii="Times New Roman" w:hAnsi="Times New Roman" w:cs="Times New Roman"/>
                <w:sz w:val="18"/>
                <w:szCs w:val="20"/>
              </w:rPr>
            </w:pPr>
          </w:p>
        </w:tc>
        <w:tc>
          <w:tcPr>
            <w:tcW w:w="426" w:type="dxa"/>
            <w:shd w:val="clear" w:color="auto" w:fill="FFC000"/>
          </w:tcPr>
          <w:p w14:paraId="7C9AFBD8"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60BC7CBC" w14:textId="77777777" w:rsidR="00D41C60" w:rsidRPr="008E17C8" w:rsidRDefault="00D41C60" w:rsidP="00B06E6D">
            <w:pPr>
              <w:jc w:val="both"/>
              <w:rPr>
                <w:rFonts w:ascii="Times New Roman" w:hAnsi="Times New Roman" w:cs="Times New Roman"/>
                <w:sz w:val="20"/>
                <w:szCs w:val="20"/>
              </w:rPr>
            </w:pPr>
          </w:p>
        </w:tc>
        <w:tc>
          <w:tcPr>
            <w:tcW w:w="709" w:type="dxa"/>
            <w:shd w:val="clear" w:color="auto" w:fill="808080"/>
          </w:tcPr>
          <w:p w14:paraId="3A0A2E76" w14:textId="77777777" w:rsidR="00D41C60" w:rsidRPr="008E17C8" w:rsidRDefault="00D41C60" w:rsidP="00B06E6D">
            <w:pPr>
              <w:jc w:val="both"/>
              <w:rPr>
                <w:rFonts w:ascii="Times New Roman" w:hAnsi="Times New Roman" w:cs="Times New Roman"/>
                <w:sz w:val="20"/>
                <w:szCs w:val="20"/>
              </w:rPr>
            </w:pPr>
          </w:p>
        </w:tc>
        <w:tc>
          <w:tcPr>
            <w:tcW w:w="284" w:type="dxa"/>
            <w:shd w:val="clear" w:color="auto" w:fill="FFC000"/>
          </w:tcPr>
          <w:p w14:paraId="33A52981"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6235FC06" w14:textId="77777777" w:rsidR="00D41C60" w:rsidRPr="008E17C8" w:rsidRDefault="00D41C60" w:rsidP="00B06E6D">
            <w:pPr>
              <w:jc w:val="both"/>
              <w:rPr>
                <w:rFonts w:ascii="Times New Roman" w:hAnsi="Times New Roman" w:cs="Times New Roman"/>
                <w:sz w:val="20"/>
                <w:szCs w:val="20"/>
              </w:rPr>
            </w:pPr>
          </w:p>
        </w:tc>
        <w:tc>
          <w:tcPr>
            <w:tcW w:w="806" w:type="dxa"/>
            <w:shd w:val="clear" w:color="auto" w:fill="808080"/>
          </w:tcPr>
          <w:p w14:paraId="4C125AEE" w14:textId="77777777" w:rsidR="00D41C60" w:rsidRPr="008E17C8" w:rsidRDefault="00D41C60" w:rsidP="00B06E6D">
            <w:pPr>
              <w:jc w:val="both"/>
              <w:rPr>
                <w:rFonts w:ascii="Times New Roman" w:hAnsi="Times New Roman" w:cs="Times New Roman"/>
                <w:sz w:val="20"/>
                <w:szCs w:val="20"/>
              </w:rPr>
            </w:pPr>
          </w:p>
        </w:tc>
        <w:tc>
          <w:tcPr>
            <w:tcW w:w="236" w:type="dxa"/>
            <w:shd w:val="clear" w:color="auto" w:fill="FFC000"/>
          </w:tcPr>
          <w:p w14:paraId="773733C0" w14:textId="77777777" w:rsidR="00D41C60" w:rsidRPr="008E17C8" w:rsidRDefault="00D41C60" w:rsidP="00B06E6D">
            <w:pPr>
              <w:jc w:val="both"/>
              <w:rPr>
                <w:rFonts w:ascii="Times New Roman" w:hAnsi="Times New Roman" w:cs="Times New Roman"/>
                <w:sz w:val="20"/>
                <w:szCs w:val="20"/>
              </w:rPr>
            </w:pPr>
          </w:p>
        </w:tc>
        <w:tc>
          <w:tcPr>
            <w:tcW w:w="1085" w:type="dxa"/>
            <w:shd w:val="clear" w:color="auto" w:fill="808080"/>
          </w:tcPr>
          <w:p w14:paraId="1BC93E0B"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808080"/>
          </w:tcPr>
          <w:p w14:paraId="125DF80D" w14:textId="77777777" w:rsidR="00D41C60" w:rsidRPr="008E17C8" w:rsidRDefault="00D41C60" w:rsidP="00B06E6D">
            <w:pPr>
              <w:jc w:val="both"/>
              <w:rPr>
                <w:rFonts w:ascii="Times New Roman" w:hAnsi="Times New Roman" w:cs="Times New Roman"/>
                <w:sz w:val="20"/>
                <w:szCs w:val="20"/>
              </w:rPr>
            </w:pPr>
          </w:p>
        </w:tc>
        <w:tc>
          <w:tcPr>
            <w:tcW w:w="425" w:type="dxa"/>
            <w:shd w:val="clear" w:color="auto" w:fill="FFC000"/>
          </w:tcPr>
          <w:p w14:paraId="3A01CC36"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808080"/>
          </w:tcPr>
          <w:p w14:paraId="72040403" w14:textId="77777777" w:rsidR="00D41C60" w:rsidRPr="008E17C8" w:rsidRDefault="00D41C60" w:rsidP="00B06E6D">
            <w:pPr>
              <w:jc w:val="both"/>
              <w:rPr>
                <w:rFonts w:ascii="Times New Roman" w:hAnsi="Times New Roman" w:cs="Times New Roman"/>
                <w:sz w:val="20"/>
                <w:szCs w:val="20"/>
              </w:rPr>
            </w:pPr>
          </w:p>
        </w:tc>
        <w:tc>
          <w:tcPr>
            <w:tcW w:w="1276" w:type="dxa"/>
            <w:shd w:val="clear" w:color="auto" w:fill="808080"/>
          </w:tcPr>
          <w:p w14:paraId="1F1AE379"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000000"/>
          </w:tcPr>
          <w:p w14:paraId="65956083" w14:textId="77777777" w:rsidR="00D41C60" w:rsidRPr="008E17C8" w:rsidRDefault="00D41C60" w:rsidP="00B06E6D">
            <w:pPr>
              <w:jc w:val="both"/>
              <w:rPr>
                <w:rFonts w:ascii="Times New Roman" w:hAnsi="Times New Roman" w:cs="Times New Roman"/>
                <w:sz w:val="20"/>
                <w:szCs w:val="20"/>
              </w:rPr>
            </w:pPr>
          </w:p>
        </w:tc>
        <w:tc>
          <w:tcPr>
            <w:tcW w:w="1417" w:type="dxa"/>
            <w:shd w:val="clear" w:color="auto" w:fill="FFC000"/>
          </w:tcPr>
          <w:p w14:paraId="2EA46D57" w14:textId="77777777" w:rsidR="00D41C60" w:rsidRPr="008E17C8" w:rsidRDefault="00D41C60" w:rsidP="00B06E6D">
            <w:pPr>
              <w:jc w:val="both"/>
              <w:rPr>
                <w:rFonts w:ascii="Times New Roman" w:hAnsi="Times New Roman" w:cs="Times New Roman"/>
                <w:sz w:val="20"/>
                <w:szCs w:val="20"/>
              </w:rPr>
            </w:pPr>
          </w:p>
        </w:tc>
        <w:tc>
          <w:tcPr>
            <w:tcW w:w="1593" w:type="dxa"/>
            <w:shd w:val="clear" w:color="auto" w:fill="FFC000"/>
          </w:tcPr>
          <w:p w14:paraId="75035DB9" w14:textId="77777777" w:rsidR="00D41C60" w:rsidRPr="008E17C8" w:rsidRDefault="00D41C60" w:rsidP="00B06E6D">
            <w:pPr>
              <w:jc w:val="both"/>
              <w:rPr>
                <w:rFonts w:ascii="Times New Roman" w:hAnsi="Times New Roman" w:cs="Times New Roman"/>
                <w:sz w:val="20"/>
                <w:szCs w:val="20"/>
              </w:rPr>
            </w:pPr>
          </w:p>
        </w:tc>
      </w:tr>
      <w:tr w:rsidR="00B06E6D" w:rsidRPr="008E17C8" w14:paraId="20A3D95E" w14:textId="77777777" w:rsidTr="00B06E6D">
        <w:tc>
          <w:tcPr>
            <w:tcW w:w="421" w:type="dxa"/>
          </w:tcPr>
          <w:p w14:paraId="3EB9D536"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21</w:t>
            </w:r>
          </w:p>
        </w:tc>
        <w:tc>
          <w:tcPr>
            <w:tcW w:w="1280" w:type="dxa"/>
          </w:tcPr>
          <w:p w14:paraId="7A3546B0" w14:textId="77777777" w:rsidR="00D41C60" w:rsidRPr="008E17C8" w:rsidRDefault="00D41C60" w:rsidP="00D41C60">
            <w:pPr>
              <w:rPr>
                <w:rFonts w:ascii="Times New Roman" w:hAnsi="Times New Roman" w:cs="Times New Roman"/>
                <w:sz w:val="18"/>
                <w:szCs w:val="20"/>
              </w:rPr>
            </w:pPr>
            <w:r w:rsidRPr="008E17C8">
              <w:rPr>
                <w:rFonts w:ascii="Times New Roman" w:hAnsi="Times New Roman" w:cs="Times New Roman"/>
                <w:sz w:val="18"/>
                <w:szCs w:val="20"/>
              </w:rPr>
              <w:t>Gospodarstwa domowe</w:t>
            </w:r>
          </w:p>
        </w:tc>
        <w:tc>
          <w:tcPr>
            <w:tcW w:w="426" w:type="dxa"/>
            <w:shd w:val="clear" w:color="auto" w:fill="FFC000"/>
          </w:tcPr>
          <w:p w14:paraId="68E5D87A"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54AEBAFA" w14:textId="77777777" w:rsidR="00D41C60" w:rsidRPr="008E17C8" w:rsidRDefault="00D41C60" w:rsidP="00B06E6D">
            <w:pPr>
              <w:jc w:val="both"/>
              <w:rPr>
                <w:rFonts w:ascii="Times New Roman" w:hAnsi="Times New Roman" w:cs="Times New Roman"/>
                <w:sz w:val="20"/>
                <w:szCs w:val="20"/>
              </w:rPr>
            </w:pPr>
          </w:p>
        </w:tc>
        <w:tc>
          <w:tcPr>
            <w:tcW w:w="709" w:type="dxa"/>
            <w:shd w:val="clear" w:color="auto" w:fill="808080"/>
          </w:tcPr>
          <w:p w14:paraId="4E47EFEC" w14:textId="77777777" w:rsidR="00D41C60" w:rsidRPr="008E17C8" w:rsidRDefault="00D41C60" w:rsidP="00B06E6D">
            <w:pPr>
              <w:jc w:val="both"/>
              <w:rPr>
                <w:rFonts w:ascii="Times New Roman" w:hAnsi="Times New Roman" w:cs="Times New Roman"/>
                <w:sz w:val="20"/>
                <w:szCs w:val="20"/>
              </w:rPr>
            </w:pPr>
          </w:p>
        </w:tc>
        <w:tc>
          <w:tcPr>
            <w:tcW w:w="284" w:type="dxa"/>
            <w:shd w:val="clear" w:color="auto" w:fill="FFC000"/>
          </w:tcPr>
          <w:p w14:paraId="38CC082D" w14:textId="77777777" w:rsidR="00D41C60" w:rsidRPr="008E17C8" w:rsidRDefault="00D41C60" w:rsidP="00B06E6D">
            <w:pPr>
              <w:jc w:val="both"/>
              <w:rPr>
                <w:rFonts w:ascii="Times New Roman" w:hAnsi="Times New Roman" w:cs="Times New Roman"/>
                <w:sz w:val="20"/>
                <w:szCs w:val="20"/>
              </w:rPr>
            </w:pPr>
          </w:p>
        </w:tc>
        <w:tc>
          <w:tcPr>
            <w:tcW w:w="708" w:type="dxa"/>
            <w:shd w:val="clear" w:color="auto" w:fill="808080"/>
          </w:tcPr>
          <w:p w14:paraId="06627F37" w14:textId="77777777" w:rsidR="00D41C60" w:rsidRPr="008E17C8" w:rsidRDefault="00D41C60" w:rsidP="00B06E6D">
            <w:pPr>
              <w:jc w:val="both"/>
              <w:rPr>
                <w:rFonts w:ascii="Times New Roman" w:hAnsi="Times New Roman" w:cs="Times New Roman"/>
                <w:sz w:val="20"/>
                <w:szCs w:val="20"/>
              </w:rPr>
            </w:pPr>
          </w:p>
        </w:tc>
        <w:tc>
          <w:tcPr>
            <w:tcW w:w="806" w:type="dxa"/>
            <w:shd w:val="clear" w:color="auto" w:fill="808080"/>
          </w:tcPr>
          <w:p w14:paraId="0BB724CB" w14:textId="77777777" w:rsidR="00D41C60" w:rsidRPr="008E17C8" w:rsidRDefault="00D41C60" w:rsidP="00B06E6D">
            <w:pPr>
              <w:jc w:val="both"/>
              <w:rPr>
                <w:rFonts w:ascii="Times New Roman" w:hAnsi="Times New Roman" w:cs="Times New Roman"/>
                <w:sz w:val="20"/>
                <w:szCs w:val="20"/>
              </w:rPr>
            </w:pPr>
          </w:p>
        </w:tc>
        <w:tc>
          <w:tcPr>
            <w:tcW w:w="236" w:type="dxa"/>
            <w:shd w:val="clear" w:color="auto" w:fill="FFC000"/>
          </w:tcPr>
          <w:p w14:paraId="0C0B41FC" w14:textId="77777777" w:rsidR="00D41C60" w:rsidRPr="008E17C8" w:rsidRDefault="00D41C60" w:rsidP="00B06E6D">
            <w:pPr>
              <w:jc w:val="both"/>
              <w:rPr>
                <w:rFonts w:ascii="Times New Roman" w:hAnsi="Times New Roman" w:cs="Times New Roman"/>
                <w:sz w:val="20"/>
                <w:szCs w:val="20"/>
              </w:rPr>
            </w:pPr>
          </w:p>
        </w:tc>
        <w:tc>
          <w:tcPr>
            <w:tcW w:w="1085" w:type="dxa"/>
            <w:shd w:val="clear" w:color="auto" w:fill="808080"/>
          </w:tcPr>
          <w:p w14:paraId="26EF29E7"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808080"/>
          </w:tcPr>
          <w:p w14:paraId="40275617" w14:textId="77777777" w:rsidR="00D41C60" w:rsidRPr="008E17C8" w:rsidRDefault="00D41C60" w:rsidP="00B06E6D">
            <w:pPr>
              <w:jc w:val="both"/>
              <w:rPr>
                <w:rFonts w:ascii="Times New Roman" w:hAnsi="Times New Roman" w:cs="Times New Roman"/>
                <w:sz w:val="20"/>
                <w:szCs w:val="20"/>
              </w:rPr>
            </w:pPr>
          </w:p>
        </w:tc>
        <w:tc>
          <w:tcPr>
            <w:tcW w:w="425" w:type="dxa"/>
            <w:shd w:val="clear" w:color="auto" w:fill="FFC000"/>
          </w:tcPr>
          <w:p w14:paraId="401E7BA9" w14:textId="77777777" w:rsidR="00D41C60" w:rsidRPr="008E17C8" w:rsidRDefault="00D41C60" w:rsidP="00B06E6D">
            <w:pPr>
              <w:jc w:val="both"/>
              <w:rPr>
                <w:rFonts w:ascii="Times New Roman" w:hAnsi="Times New Roman" w:cs="Times New Roman"/>
                <w:sz w:val="20"/>
                <w:szCs w:val="20"/>
              </w:rPr>
            </w:pPr>
          </w:p>
        </w:tc>
        <w:tc>
          <w:tcPr>
            <w:tcW w:w="992" w:type="dxa"/>
            <w:shd w:val="clear" w:color="auto" w:fill="808080"/>
          </w:tcPr>
          <w:p w14:paraId="6C7ACAEC" w14:textId="77777777" w:rsidR="00D41C60" w:rsidRPr="008E17C8" w:rsidRDefault="00D41C60" w:rsidP="00B06E6D">
            <w:pPr>
              <w:jc w:val="both"/>
              <w:rPr>
                <w:rFonts w:ascii="Times New Roman" w:hAnsi="Times New Roman" w:cs="Times New Roman"/>
                <w:sz w:val="20"/>
                <w:szCs w:val="20"/>
              </w:rPr>
            </w:pPr>
          </w:p>
        </w:tc>
        <w:tc>
          <w:tcPr>
            <w:tcW w:w="1276" w:type="dxa"/>
            <w:shd w:val="clear" w:color="auto" w:fill="808080"/>
          </w:tcPr>
          <w:p w14:paraId="3DC7B958" w14:textId="77777777" w:rsidR="00D41C60" w:rsidRPr="008E17C8" w:rsidRDefault="00D41C60" w:rsidP="00B06E6D">
            <w:pPr>
              <w:jc w:val="both"/>
              <w:rPr>
                <w:rFonts w:ascii="Times New Roman" w:hAnsi="Times New Roman" w:cs="Times New Roman"/>
                <w:sz w:val="20"/>
                <w:szCs w:val="20"/>
              </w:rPr>
            </w:pPr>
          </w:p>
        </w:tc>
        <w:tc>
          <w:tcPr>
            <w:tcW w:w="1134" w:type="dxa"/>
            <w:shd w:val="clear" w:color="auto" w:fill="000000"/>
          </w:tcPr>
          <w:p w14:paraId="321E3751" w14:textId="77777777" w:rsidR="00D41C60" w:rsidRPr="008E17C8" w:rsidRDefault="00D41C60" w:rsidP="00B06E6D">
            <w:pPr>
              <w:jc w:val="both"/>
              <w:rPr>
                <w:rFonts w:ascii="Times New Roman" w:hAnsi="Times New Roman" w:cs="Times New Roman"/>
                <w:sz w:val="20"/>
                <w:szCs w:val="20"/>
              </w:rPr>
            </w:pPr>
          </w:p>
        </w:tc>
        <w:tc>
          <w:tcPr>
            <w:tcW w:w="1417" w:type="dxa"/>
            <w:shd w:val="clear" w:color="auto" w:fill="FFC000"/>
          </w:tcPr>
          <w:p w14:paraId="4C3CE9CE" w14:textId="77777777" w:rsidR="00D41C60" w:rsidRPr="008E17C8" w:rsidRDefault="00D41C60" w:rsidP="00B06E6D">
            <w:pPr>
              <w:jc w:val="both"/>
              <w:rPr>
                <w:rFonts w:ascii="Times New Roman" w:hAnsi="Times New Roman" w:cs="Times New Roman"/>
                <w:sz w:val="20"/>
                <w:szCs w:val="20"/>
              </w:rPr>
            </w:pPr>
          </w:p>
        </w:tc>
        <w:tc>
          <w:tcPr>
            <w:tcW w:w="1593" w:type="dxa"/>
            <w:shd w:val="clear" w:color="auto" w:fill="FFC000"/>
          </w:tcPr>
          <w:p w14:paraId="57E25355" w14:textId="77777777" w:rsidR="00D41C60" w:rsidRPr="008E17C8" w:rsidRDefault="00D41C60" w:rsidP="00B06E6D">
            <w:pPr>
              <w:jc w:val="both"/>
              <w:rPr>
                <w:rFonts w:ascii="Times New Roman" w:hAnsi="Times New Roman" w:cs="Times New Roman"/>
                <w:sz w:val="20"/>
                <w:szCs w:val="20"/>
              </w:rPr>
            </w:pPr>
          </w:p>
        </w:tc>
      </w:tr>
      <w:tr w:rsidR="00B06E6D" w:rsidRPr="008E17C8" w14:paraId="60D4661C" w14:textId="77777777" w:rsidTr="00B06E6D">
        <w:tc>
          <w:tcPr>
            <w:tcW w:w="421" w:type="dxa"/>
          </w:tcPr>
          <w:p w14:paraId="48D6BDCB" w14:textId="77777777" w:rsidR="00D41C60" w:rsidRPr="008E17C8" w:rsidRDefault="00D41C60" w:rsidP="00B06E6D">
            <w:pPr>
              <w:jc w:val="both"/>
              <w:rPr>
                <w:rFonts w:ascii="Times New Roman" w:hAnsi="Times New Roman" w:cs="Times New Roman"/>
                <w:b/>
                <w:sz w:val="20"/>
                <w:szCs w:val="20"/>
              </w:rPr>
            </w:pPr>
            <w:r w:rsidRPr="008E17C8">
              <w:rPr>
                <w:rFonts w:ascii="Times New Roman" w:hAnsi="Times New Roman" w:cs="Times New Roman"/>
                <w:b/>
                <w:sz w:val="20"/>
                <w:szCs w:val="20"/>
              </w:rPr>
              <w:t>22</w:t>
            </w:r>
          </w:p>
        </w:tc>
        <w:tc>
          <w:tcPr>
            <w:tcW w:w="1280" w:type="dxa"/>
          </w:tcPr>
          <w:p w14:paraId="713BFBFF" w14:textId="77777777" w:rsidR="00D41C60" w:rsidRPr="008E17C8" w:rsidRDefault="00D41C60" w:rsidP="00B06E6D">
            <w:pPr>
              <w:jc w:val="both"/>
              <w:rPr>
                <w:rFonts w:ascii="Times New Roman" w:hAnsi="Times New Roman" w:cs="Times New Roman"/>
                <w:b/>
                <w:sz w:val="18"/>
                <w:szCs w:val="20"/>
              </w:rPr>
            </w:pPr>
            <w:r w:rsidRPr="008E17C8">
              <w:rPr>
                <w:rFonts w:ascii="Times New Roman" w:hAnsi="Times New Roman" w:cs="Times New Roman"/>
                <w:b/>
                <w:sz w:val="18"/>
                <w:szCs w:val="20"/>
              </w:rPr>
              <w:t>Łącznie</w:t>
            </w:r>
          </w:p>
        </w:tc>
        <w:tc>
          <w:tcPr>
            <w:tcW w:w="426" w:type="dxa"/>
          </w:tcPr>
          <w:p w14:paraId="253F4B04" w14:textId="77777777" w:rsidR="00D41C60" w:rsidRPr="008E17C8" w:rsidRDefault="00D41C60" w:rsidP="00B06E6D">
            <w:pPr>
              <w:jc w:val="both"/>
              <w:rPr>
                <w:rFonts w:ascii="Times New Roman" w:hAnsi="Times New Roman" w:cs="Times New Roman"/>
                <w:b/>
                <w:sz w:val="20"/>
                <w:szCs w:val="20"/>
              </w:rPr>
            </w:pPr>
          </w:p>
        </w:tc>
        <w:tc>
          <w:tcPr>
            <w:tcW w:w="708" w:type="dxa"/>
            <w:shd w:val="clear" w:color="auto" w:fill="808080"/>
          </w:tcPr>
          <w:p w14:paraId="082DA928" w14:textId="77777777" w:rsidR="00D41C60" w:rsidRPr="008E17C8" w:rsidRDefault="00D41C60" w:rsidP="00B06E6D">
            <w:pPr>
              <w:jc w:val="both"/>
              <w:rPr>
                <w:rFonts w:ascii="Times New Roman" w:hAnsi="Times New Roman" w:cs="Times New Roman"/>
                <w:b/>
                <w:sz w:val="20"/>
                <w:szCs w:val="20"/>
              </w:rPr>
            </w:pPr>
          </w:p>
        </w:tc>
        <w:tc>
          <w:tcPr>
            <w:tcW w:w="709" w:type="dxa"/>
            <w:shd w:val="clear" w:color="auto" w:fill="808080"/>
          </w:tcPr>
          <w:p w14:paraId="5ABF08B2" w14:textId="77777777" w:rsidR="00D41C60" w:rsidRPr="008E17C8" w:rsidRDefault="00D41C60" w:rsidP="00B06E6D">
            <w:pPr>
              <w:jc w:val="both"/>
              <w:rPr>
                <w:rFonts w:ascii="Times New Roman" w:hAnsi="Times New Roman" w:cs="Times New Roman"/>
                <w:b/>
                <w:sz w:val="20"/>
                <w:szCs w:val="20"/>
              </w:rPr>
            </w:pPr>
          </w:p>
        </w:tc>
        <w:tc>
          <w:tcPr>
            <w:tcW w:w="284" w:type="dxa"/>
          </w:tcPr>
          <w:p w14:paraId="6DBD7219" w14:textId="77777777" w:rsidR="00D41C60" w:rsidRPr="008E17C8" w:rsidRDefault="00D41C60" w:rsidP="00B06E6D">
            <w:pPr>
              <w:jc w:val="both"/>
              <w:rPr>
                <w:rFonts w:ascii="Times New Roman" w:hAnsi="Times New Roman" w:cs="Times New Roman"/>
                <w:b/>
                <w:sz w:val="20"/>
                <w:szCs w:val="20"/>
              </w:rPr>
            </w:pPr>
          </w:p>
        </w:tc>
        <w:tc>
          <w:tcPr>
            <w:tcW w:w="708" w:type="dxa"/>
            <w:shd w:val="clear" w:color="auto" w:fill="808080"/>
          </w:tcPr>
          <w:p w14:paraId="17CF1655" w14:textId="77777777" w:rsidR="00D41C60" w:rsidRPr="008E17C8" w:rsidRDefault="00D41C60" w:rsidP="00B06E6D">
            <w:pPr>
              <w:jc w:val="both"/>
              <w:rPr>
                <w:rFonts w:ascii="Times New Roman" w:hAnsi="Times New Roman" w:cs="Times New Roman"/>
                <w:b/>
                <w:sz w:val="20"/>
                <w:szCs w:val="20"/>
              </w:rPr>
            </w:pPr>
          </w:p>
        </w:tc>
        <w:tc>
          <w:tcPr>
            <w:tcW w:w="806" w:type="dxa"/>
            <w:shd w:val="clear" w:color="auto" w:fill="808080"/>
          </w:tcPr>
          <w:p w14:paraId="7E98680F" w14:textId="77777777" w:rsidR="00D41C60" w:rsidRPr="008E17C8" w:rsidRDefault="00D41C60" w:rsidP="00B06E6D">
            <w:pPr>
              <w:jc w:val="both"/>
              <w:rPr>
                <w:rFonts w:ascii="Times New Roman" w:hAnsi="Times New Roman" w:cs="Times New Roman"/>
                <w:b/>
                <w:sz w:val="20"/>
                <w:szCs w:val="20"/>
              </w:rPr>
            </w:pPr>
          </w:p>
        </w:tc>
        <w:tc>
          <w:tcPr>
            <w:tcW w:w="236" w:type="dxa"/>
          </w:tcPr>
          <w:p w14:paraId="37DCF598" w14:textId="77777777" w:rsidR="00D41C60" w:rsidRPr="008E17C8" w:rsidRDefault="00D41C60" w:rsidP="00B06E6D">
            <w:pPr>
              <w:jc w:val="both"/>
              <w:rPr>
                <w:rFonts w:ascii="Times New Roman" w:hAnsi="Times New Roman" w:cs="Times New Roman"/>
                <w:b/>
                <w:sz w:val="20"/>
                <w:szCs w:val="20"/>
              </w:rPr>
            </w:pPr>
          </w:p>
        </w:tc>
        <w:tc>
          <w:tcPr>
            <w:tcW w:w="1085" w:type="dxa"/>
            <w:shd w:val="clear" w:color="auto" w:fill="808080"/>
          </w:tcPr>
          <w:p w14:paraId="32C6A2A9" w14:textId="77777777" w:rsidR="00D41C60" w:rsidRPr="008E17C8" w:rsidRDefault="00D41C60" w:rsidP="00B06E6D">
            <w:pPr>
              <w:jc w:val="both"/>
              <w:rPr>
                <w:rFonts w:ascii="Times New Roman" w:hAnsi="Times New Roman" w:cs="Times New Roman"/>
                <w:b/>
                <w:sz w:val="20"/>
                <w:szCs w:val="20"/>
              </w:rPr>
            </w:pPr>
          </w:p>
        </w:tc>
        <w:tc>
          <w:tcPr>
            <w:tcW w:w="1134" w:type="dxa"/>
            <w:shd w:val="clear" w:color="auto" w:fill="808080"/>
          </w:tcPr>
          <w:p w14:paraId="095AEA17" w14:textId="77777777" w:rsidR="00D41C60" w:rsidRPr="008E17C8" w:rsidRDefault="00D41C60" w:rsidP="00B06E6D">
            <w:pPr>
              <w:jc w:val="both"/>
              <w:rPr>
                <w:rFonts w:ascii="Times New Roman" w:hAnsi="Times New Roman" w:cs="Times New Roman"/>
                <w:b/>
                <w:sz w:val="20"/>
                <w:szCs w:val="20"/>
              </w:rPr>
            </w:pPr>
          </w:p>
        </w:tc>
        <w:tc>
          <w:tcPr>
            <w:tcW w:w="425" w:type="dxa"/>
          </w:tcPr>
          <w:p w14:paraId="7FD32CC6" w14:textId="77777777" w:rsidR="00D41C60" w:rsidRPr="008E17C8" w:rsidRDefault="00D41C60" w:rsidP="00B06E6D">
            <w:pPr>
              <w:jc w:val="both"/>
              <w:rPr>
                <w:rFonts w:ascii="Times New Roman" w:hAnsi="Times New Roman" w:cs="Times New Roman"/>
                <w:b/>
                <w:sz w:val="20"/>
                <w:szCs w:val="20"/>
              </w:rPr>
            </w:pPr>
          </w:p>
        </w:tc>
        <w:tc>
          <w:tcPr>
            <w:tcW w:w="992" w:type="dxa"/>
            <w:shd w:val="clear" w:color="auto" w:fill="808080"/>
          </w:tcPr>
          <w:p w14:paraId="63699F83" w14:textId="77777777" w:rsidR="00D41C60" w:rsidRPr="008E17C8" w:rsidRDefault="00D41C60" w:rsidP="00B06E6D">
            <w:pPr>
              <w:jc w:val="both"/>
              <w:rPr>
                <w:rFonts w:ascii="Times New Roman" w:hAnsi="Times New Roman" w:cs="Times New Roman"/>
                <w:b/>
                <w:sz w:val="20"/>
                <w:szCs w:val="20"/>
              </w:rPr>
            </w:pPr>
          </w:p>
        </w:tc>
        <w:tc>
          <w:tcPr>
            <w:tcW w:w="1276" w:type="dxa"/>
            <w:shd w:val="clear" w:color="auto" w:fill="808080"/>
          </w:tcPr>
          <w:p w14:paraId="661960E5" w14:textId="77777777" w:rsidR="00D41C60" w:rsidRPr="008E17C8" w:rsidRDefault="00D41C60" w:rsidP="00B06E6D">
            <w:pPr>
              <w:jc w:val="both"/>
              <w:rPr>
                <w:rFonts w:ascii="Times New Roman" w:hAnsi="Times New Roman" w:cs="Times New Roman"/>
                <w:b/>
                <w:sz w:val="20"/>
                <w:szCs w:val="20"/>
              </w:rPr>
            </w:pPr>
          </w:p>
        </w:tc>
        <w:tc>
          <w:tcPr>
            <w:tcW w:w="1134" w:type="dxa"/>
          </w:tcPr>
          <w:p w14:paraId="76A71824" w14:textId="77777777" w:rsidR="00D41C60" w:rsidRPr="008E17C8" w:rsidRDefault="00D41C60" w:rsidP="00B06E6D">
            <w:pPr>
              <w:jc w:val="both"/>
              <w:rPr>
                <w:rFonts w:ascii="Times New Roman" w:hAnsi="Times New Roman" w:cs="Times New Roman"/>
                <w:b/>
                <w:sz w:val="20"/>
                <w:szCs w:val="20"/>
              </w:rPr>
            </w:pPr>
          </w:p>
        </w:tc>
        <w:tc>
          <w:tcPr>
            <w:tcW w:w="1417" w:type="dxa"/>
          </w:tcPr>
          <w:p w14:paraId="03560CF3" w14:textId="77777777" w:rsidR="00D41C60" w:rsidRPr="008E17C8" w:rsidRDefault="00D41C60" w:rsidP="00B06E6D">
            <w:pPr>
              <w:jc w:val="both"/>
              <w:rPr>
                <w:rFonts w:ascii="Times New Roman" w:hAnsi="Times New Roman" w:cs="Times New Roman"/>
                <w:b/>
                <w:sz w:val="20"/>
                <w:szCs w:val="20"/>
              </w:rPr>
            </w:pPr>
          </w:p>
        </w:tc>
        <w:tc>
          <w:tcPr>
            <w:tcW w:w="1593" w:type="dxa"/>
          </w:tcPr>
          <w:p w14:paraId="173B8119" w14:textId="77777777" w:rsidR="00D41C60" w:rsidRPr="008E17C8" w:rsidRDefault="00D41C60" w:rsidP="00B06E6D">
            <w:pPr>
              <w:jc w:val="both"/>
              <w:rPr>
                <w:rFonts w:ascii="Times New Roman" w:hAnsi="Times New Roman" w:cs="Times New Roman"/>
                <w:b/>
                <w:sz w:val="20"/>
                <w:szCs w:val="20"/>
              </w:rPr>
            </w:pPr>
          </w:p>
        </w:tc>
      </w:tr>
    </w:tbl>
    <w:p w14:paraId="4F5E2BB2" w14:textId="77777777" w:rsidR="00D41C60" w:rsidRPr="008E17C8" w:rsidRDefault="00D41C60" w:rsidP="00D41C60">
      <w:pPr>
        <w:jc w:val="both"/>
        <w:rPr>
          <w:rFonts w:ascii="Times New Roman" w:hAnsi="Times New Roman" w:cs="Times New Roman"/>
          <w:sz w:val="16"/>
          <w:szCs w:val="16"/>
        </w:rPr>
      </w:pPr>
    </w:p>
    <w:p w14:paraId="6ABF183D" w14:textId="77777777" w:rsidR="00D41C60" w:rsidRPr="008E17C8" w:rsidRDefault="00D41C60" w:rsidP="00D41C60">
      <w:pPr>
        <w:jc w:val="both"/>
        <w:rPr>
          <w:rFonts w:ascii="Times New Roman" w:hAnsi="Times New Roman" w:cs="Times New Roman"/>
          <w:sz w:val="16"/>
          <w:szCs w:val="16"/>
        </w:rPr>
      </w:pPr>
    </w:p>
    <w:tbl>
      <w:tblPr>
        <w:tblW w:w="14742" w:type="dxa"/>
        <w:tblCellMar>
          <w:left w:w="70" w:type="dxa"/>
          <w:right w:w="70" w:type="dxa"/>
        </w:tblCellMar>
        <w:tblLook w:val="04A0" w:firstRow="1" w:lastRow="0" w:firstColumn="1" w:lastColumn="0" w:noHBand="0" w:noVBand="1"/>
      </w:tblPr>
      <w:tblGrid>
        <w:gridCol w:w="3280"/>
        <w:gridCol w:w="11462"/>
      </w:tblGrid>
      <w:tr w:rsidR="00D41C60" w:rsidRPr="008E17C8" w14:paraId="6EC54B3A" w14:textId="77777777" w:rsidTr="00D41C60">
        <w:trPr>
          <w:trHeight w:val="288"/>
        </w:trPr>
        <w:tc>
          <w:tcPr>
            <w:tcW w:w="3280" w:type="dxa"/>
            <w:tcBorders>
              <w:top w:val="nil"/>
              <w:bottom w:val="single" w:sz="4" w:space="0" w:color="auto"/>
            </w:tcBorders>
            <w:shd w:val="clear" w:color="000000" w:fill="FFFFFF"/>
            <w:vAlign w:val="bottom"/>
            <w:hideMark/>
          </w:tcPr>
          <w:p w14:paraId="4011CE6D" w14:textId="77777777" w:rsidR="00D41C60" w:rsidRPr="008E17C8" w:rsidRDefault="00D41C60" w:rsidP="00D41C60">
            <w:pPr>
              <w:jc w:val="center"/>
              <w:rPr>
                <w:rFonts w:ascii="Times New Roman" w:hAnsi="Times New Roman" w:cs="Times New Roman"/>
                <w:b/>
                <w:bCs/>
                <w:sz w:val="22"/>
                <w:szCs w:val="22"/>
              </w:rPr>
            </w:pPr>
            <w:r w:rsidRPr="008E17C8">
              <w:rPr>
                <w:rFonts w:ascii="Times New Roman" w:hAnsi="Times New Roman" w:cs="Times New Roman"/>
                <w:b/>
                <w:bCs/>
                <w:sz w:val="22"/>
                <w:szCs w:val="22"/>
              </w:rPr>
              <w:t>Legenda:</w:t>
            </w:r>
          </w:p>
        </w:tc>
        <w:tc>
          <w:tcPr>
            <w:tcW w:w="11462" w:type="dxa"/>
            <w:tcBorders>
              <w:top w:val="nil"/>
            </w:tcBorders>
            <w:shd w:val="clear" w:color="000000" w:fill="FFFFFF"/>
          </w:tcPr>
          <w:p w14:paraId="06290584" w14:textId="77777777" w:rsidR="00D41C60" w:rsidRPr="008E17C8" w:rsidRDefault="00D41C60" w:rsidP="00D41C60">
            <w:pPr>
              <w:jc w:val="center"/>
              <w:rPr>
                <w:rFonts w:ascii="Times New Roman" w:hAnsi="Times New Roman" w:cs="Times New Roman"/>
                <w:b/>
                <w:bCs/>
                <w:sz w:val="22"/>
                <w:szCs w:val="22"/>
              </w:rPr>
            </w:pPr>
          </w:p>
        </w:tc>
      </w:tr>
      <w:tr w:rsidR="00D41C60" w:rsidRPr="008E17C8" w14:paraId="15A86640" w14:textId="77777777" w:rsidTr="00D41C60">
        <w:trPr>
          <w:trHeight w:val="300"/>
        </w:trPr>
        <w:tc>
          <w:tcPr>
            <w:tcW w:w="3280" w:type="dxa"/>
            <w:tcBorders>
              <w:top w:val="single" w:sz="4" w:space="0" w:color="auto"/>
              <w:left w:val="single" w:sz="4" w:space="0" w:color="auto"/>
              <w:bottom w:val="single" w:sz="4" w:space="0" w:color="auto"/>
              <w:right w:val="single" w:sz="4" w:space="0" w:color="auto"/>
            </w:tcBorders>
            <w:noWrap/>
            <w:vAlign w:val="bottom"/>
            <w:hideMark/>
          </w:tcPr>
          <w:p w14:paraId="21E3EBB4" w14:textId="77777777" w:rsidR="00D41C60" w:rsidRPr="008E17C8" w:rsidRDefault="00D41C60" w:rsidP="00D41C60">
            <w:pPr>
              <w:rPr>
                <w:rFonts w:ascii="Times New Roman" w:hAnsi="Times New Roman" w:cs="Times New Roman"/>
                <w:sz w:val="22"/>
                <w:szCs w:val="22"/>
              </w:rPr>
            </w:pPr>
            <w:r w:rsidRPr="008E17C8">
              <w:rPr>
                <w:rFonts w:ascii="Times New Roman" w:hAnsi="Times New Roman" w:cs="Times New Roman"/>
                <w:sz w:val="22"/>
                <w:szCs w:val="22"/>
              </w:rPr>
              <w:t> </w:t>
            </w:r>
          </w:p>
        </w:tc>
        <w:tc>
          <w:tcPr>
            <w:tcW w:w="11462" w:type="dxa"/>
            <w:tcBorders>
              <w:left w:val="single" w:sz="4" w:space="0" w:color="auto"/>
            </w:tcBorders>
          </w:tcPr>
          <w:p w14:paraId="3FD62724" w14:textId="77777777" w:rsidR="00D41C60" w:rsidRPr="008E17C8" w:rsidRDefault="00D41C60" w:rsidP="00D41C60">
            <w:pPr>
              <w:rPr>
                <w:rFonts w:ascii="Times New Roman" w:hAnsi="Times New Roman" w:cs="Times New Roman"/>
                <w:szCs w:val="22"/>
              </w:rPr>
            </w:pPr>
            <w:r w:rsidRPr="008E17C8">
              <w:rPr>
                <w:rFonts w:ascii="Times New Roman" w:hAnsi="Times New Roman" w:cs="Times New Roman"/>
                <w:szCs w:val="22"/>
              </w:rPr>
              <w:t>pola, których wypełnianie jest obowiązkowe</w:t>
            </w:r>
          </w:p>
        </w:tc>
      </w:tr>
      <w:tr w:rsidR="00D41C60" w:rsidRPr="008E17C8" w14:paraId="044C8B42" w14:textId="77777777" w:rsidTr="00D41C60">
        <w:trPr>
          <w:trHeight w:val="300"/>
        </w:trPr>
        <w:tc>
          <w:tcPr>
            <w:tcW w:w="3280" w:type="dxa"/>
            <w:tcBorders>
              <w:top w:val="single" w:sz="4" w:space="0" w:color="3F3F3F"/>
              <w:left w:val="single" w:sz="4" w:space="0" w:color="3F3F3F"/>
              <w:bottom w:val="single" w:sz="4" w:space="0" w:color="3F3F3F"/>
              <w:right w:val="single" w:sz="4" w:space="0" w:color="auto"/>
            </w:tcBorders>
            <w:shd w:val="clear" w:color="auto" w:fill="FFC000"/>
            <w:noWrap/>
            <w:vAlign w:val="bottom"/>
            <w:hideMark/>
          </w:tcPr>
          <w:p w14:paraId="78675460" w14:textId="77777777" w:rsidR="00D41C60" w:rsidRPr="008E17C8" w:rsidRDefault="00D41C60" w:rsidP="00D41C60">
            <w:pPr>
              <w:rPr>
                <w:rFonts w:ascii="Times New Roman" w:hAnsi="Times New Roman" w:cs="Times New Roman"/>
                <w:b/>
                <w:bCs/>
                <w:sz w:val="22"/>
                <w:szCs w:val="22"/>
              </w:rPr>
            </w:pPr>
            <w:r w:rsidRPr="008E17C8">
              <w:rPr>
                <w:rFonts w:ascii="Times New Roman" w:hAnsi="Times New Roman" w:cs="Times New Roman"/>
                <w:b/>
                <w:bCs/>
                <w:sz w:val="22"/>
                <w:szCs w:val="22"/>
              </w:rPr>
              <w:t xml:space="preserve">  </w:t>
            </w:r>
          </w:p>
        </w:tc>
        <w:tc>
          <w:tcPr>
            <w:tcW w:w="11462" w:type="dxa"/>
            <w:tcBorders>
              <w:left w:val="single" w:sz="4" w:space="0" w:color="auto"/>
            </w:tcBorders>
            <w:shd w:val="clear" w:color="auto" w:fill="FFFFFF"/>
          </w:tcPr>
          <w:p w14:paraId="2F1CF0BF" w14:textId="77777777" w:rsidR="00D41C60" w:rsidRPr="008E17C8" w:rsidRDefault="00D41C60" w:rsidP="00D41C60">
            <w:pPr>
              <w:rPr>
                <w:rFonts w:ascii="Times New Roman" w:hAnsi="Times New Roman" w:cs="Times New Roman"/>
                <w:bCs/>
                <w:szCs w:val="22"/>
              </w:rPr>
            </w:pPr>
            <w:r w:rsidRPr="008E17C8">
              <w:rPr>
                <w:rFonts w:ascii="Times New Roman" w:hAnsi="Times New Roman" w:cs="Times New Roman"/>
                <w:bCs/>
                <w:szCs w:val="22"/>
              </w:rPr>
              <w:t>pola, których wypełnianie jest nieobowiązkowe</w:t>
            </w:r>
          </w:p>
        </w:tc>
      </w:tr>
      <w:tr w:rsidR="00D41C60" w:rsidRPr="008E17C8" w14:paraId="5B7288A0" w14:textId="77777777" w:rsidTr="00D41C60">
        <w:trPr>
          <w:trHeight w:val="288"/>
        </w:trPr>
        <w:tc>
          <w:tcPr>
            <w:tcW w:w="3280" w:type="dxa"/>
            <w:tcBorders>
              <w:top w:val="single" w:sz="4" w:space="0" w:color="3F3F3F"/>
              <w:left w:val="single" w:sz="4" w:space="0" w:color="3F3F3F"/>
              <w:bottom w:val="single" w:sz="4" w:space="0" w:color="3F3F3F"/>
              <w:right w:val="single" w:sz="4" w:space="0" w:color="auto"/>
            </w:tcBorders>
            <w:shd w:val="clear" w:color="auto" w:fill="808080"/>
            <w:noWrap/>
            <w:vAlign w:val="bottom"/>
            <w:hideMark/>
          </w:tcPr>
          <w:p w14:paraId="07871B7A" w14:textId="77777777" w:rsidR="00D41C60" w:rsidRPr="008E17C8" w:rsidRDefault="00D41C60" w:rsidP="00D41C60">
            <w:pPr>
              <w:rPr>
                <w:rFonts w:ascii="Times New Roman" w:hAnsi="Times New Roman" w:cs="Times New Roman"/>
                <w:sz w:val="22"/>
                <w:szCs w:val="22"/>
              </w:rPr>
            </w:pPr>
            <w:r w:rsidRPr="008E17C8">
              <w:rPr>
                <w:rFonts w:ascii="Times New Roman" w:hAnsi="Times New Roman" w:cs="Times New Roman"/>
                <w:sz w:val="22"/>
                <w:szCs w:val="22"/>
              </w:rPr>
              <w:t> </w:t>
            </w:r>
          </w:p>
        </w:tc>
        <w:tc>
          <w:tcPr>
            <w:tcW w:w="11462" w:type="dxa"/>
            <w:tcBorders>
              <w:left w:val="single" w:sz="4" w:space="0" w:color="auto"/>
            </w:tcBorders>
            <w:shd w:val="clear" w:color="auto" w:fill="FFFFFF"/>
          </w:tcPr>
          <w:p w14:paraId="6535C925" w14:textId="77777777" w:rsidR="00D41C60" w:rsidRPr="008E17C8" w:rsidRDefault="00D41C60" w:rsidP="00D41C60">
            <w:pPr>
              <w:rPr>
                <w:rFonts w:ascii="Times New Roman" w:hAnsi="Times New Roman" w:cs="Times New Roman"/>
                <w:szCs w:val="22"/>
              </w:rPr>
            </w:pPr>
            <w:r w:rsidRPr="008E17C8">
              <w:rPr>
                <w:rFonts w:ascii="Times New Roman" w:hAnsi="Times New Roman" w:cs="Times New Roman"/>
                <w:szCs w:val="22"/>
              </w:rPr>
              <w:t>pola zablokowane, zgodnie z objaśnieniami poniżej nie dotyczy banków stosujących krajowe zasady rachunkowości</w:t>
            </w:r>
          </w:p>
        </w:tc>
      </w:tr>
      <w:tr w:rsidR="00D41C60" w:rsidRPr="008E17C8" w14:paraId="33847121" w14:textId="77777777" w:rsidTr="00D41C60">
        <w:trPr>
          <w:trHeight w:val="288"/>
        </w:trPr>
        <w:tc>
          <w:tcPr>
            <w:tcW w:w="3280" w:type="dxa"/>
            <w:tcBorders>
              <w:top w:val="single" w:sz="4" w:space="0" w:color="3F3F3F"/>
              <w:left w:val="single" w:sz="4" w:space="0" w:color="3F3F3F"/>
              <w:bottom w:val="single" w:sz="4" w:space="0" w:color="3F3F3F"/>
              <w:right w:val="single" w:sz="4" w:space="0" w:color="auto"/>
            </w:tcBorders>
            <w:shd w:val="clear" w:color="000000" w:fill="000000"/>
            <w:noWrap/>
            <w:vAlign w:val="bottom"/>
            <w:hideMark/>
          </w:tcPr>
          <w:p w14:paraId="53F04973" w14:textId="77777777" w:rsidR="00D41C60" w:rsidRPr="008E17C8" w:rsidRDefault="00D41C60" w:rsidP="00D41C60">
            <w:pPr>
              <w:rPr>
                <w:rFonts w:ascii="Times New Roman" w:hAnsi="Times New Roman" w:cs="Times New Roman"/>
                <w:sz w:val="22"/>
                <w:szCs w:val="22"/>
              </w:rPr>
            </w:pPr>
            <w:r w:rsidRPr="008E17C8">
              <w:rPr>
                <w:rFonts w:ascii="Times New Roman" w:hAnsi="Times New Roman" w:cs="Times New Roman"/>
                <w:sz w:val="22"/>
                <w:szCs w:val="22"/>
              </w:rPr>
              <w:t> </w:t>
            </w:r>
          </w:p>
        </w:tc>
        <w:tc>
          <w:tcPr>
            <w:tcW w:w="11462" w:type="dxa"/>
            <w:tcBorders>
              <w:left w:val="single" w:sz="4" w:space="0" w:color="auto"/>
            </w:tcBorders>
            <w:shd w:val="clear" w:color="auto" w:fill="FFFFFF"/>
          </w:tcPr>
          <w:p w14:paraId="443EAD20" w14:textId="77777777" w:rsidR="00D41C60" w:rsidRPr="008E17C8" w:rsidRDefault="00D41C60" w:rsidP="00D41C60">
            <w:pPr>
              <w:rPr>
                <w:rFonts w:ascii="Times New Roman" w:hAnsi="Times New Roman" w:cs="Times New Roman"/>
                <w:szCs w:val="22"/>
              </w:rPr>
            </w:pPr>
            <w:r w:rsidRPr="008E17C8">
              <w:rPr>
                <w:rFonts w:ascii="Times New Roman" w:hAnsi="Times New Roman" w:cs="Times New Roman"/>
                <w:szCs w:val="22"/>
              </w:rPr>
              <w:t>pola zablokowane, zgodnie ze wzorcem zaprezentowanym w  „Wytycznych dotyczących ujawniania w zakresie ekspozycji nieobsługiwanych i restrukturyzowanych” (EBA/GL/2018/10)</w:t>
            </w:r>
          </w:p>
        </w:tc>
      </w:tr>
    </w:tbl>
    <w:p w14:paraId="7AF4C3EB" w14:textId="77777777" w:rsidR="00D41C60" w:rsidRPr="008E17C8" w:rsidRDefault="00D41C60" w:rsidP="00D41C60">
      <w:pPr>
        <w:jc w:val="both"/>
        <w:rPr>
          <w:rFonts w:ascii="Times New Roman" w:hAnsi="Times New Roman" w:cs="Times New Roman"/>
          <w:sz w:val="16"/>
          <w:szCs w:val="16"/>
        </w:rPr>
      </w:pPr>
    </w:p>
    <w:p w14:paraId="1B0D12C6" w14:textId="77777777" w:rsidR="00D41C60" w:rsidRPr="008E17C8" w:rsidRDefault="00D41C60" w:rsidP="00D41C60">
      <w:pPr>
        <w:rPr>
          <w:rFonts w:ascii="Times New Roman" w:hAnsi="Times New Roman" w:cs="Times New Roman"/>
          <w:b/>
          <w:color w:val="00B050"/>
          <w:u w:val="single"/>
        </w:rPr>
      </w:pPr>
      <w:r w:rsidRPr="008E17C8">
        <w:rPr>
          <w:rFonts w:ascii="Times New Roman" w:hAnsi="Times New Roman" w:cs="Times New Roman"/>
          <w:b/>
          <w:color w:val="00B050"/>
          <w:u w:val="single"/>
        </w:rPr>
        <w:t>Instrukcja wypełniania</w:t>
      </w:r>
    </w:p>
    <w:p w14:paraId="5F95E7E8" w14:textId="77777777" w:rsidR="00D41C60" w:rsidRPr="008E17C8" w:rsidRDefault="00D41C60" w:rsidP="00D41C60">
      <w:pPr>
        <w:jc w:val="both"/>
        <w:rPr>
          <w:rFonts w:ascii="Times New Roman" w:hAnsi="Times New Roman" w:cs="Times New Roman"/>
          <w:b/>
          <w:color w:val="00B050"/>
          <w:szCs w:val="16"/>
        </w:rPr>
      </w:pPr>
    </w:p>
    <w:p w14:paraId="14EE8F0B" w14:textId="77777777" w:rsidR="00D41C60" w:rsidRPr="008E17C8" w:rsidRDefault="00D41C60" w:rsidP="00D41C60">
      <w:pPr>
        <w:jc w:val="both"/>
        <w:rPr>
          <w:rFonts w:ascii="Times New Roman" w:hAnsi="Times New Roman" w:cs="Times New Roman"/>
          <w:b/>
          <w:color w:val="00B050"/>
          <w:szCs w:val="16"/>
          <w:u w:val="single"/>
        </w:rPr>
      </w:pPr>
      <w:r w:rsidRPr="008E17C8">
        <w:rPr>
          <w:rFonts w:ascii="Times New Roman" w:hAnsi="Times New Roman" w:cs="Times New Roman"/>
          <w:b/>
          <w:color w:val="00B050"/>
          <w:szCs w:val="16"/>
          <w:u w:val="single"/>
        </w:rPr>
        <w:t>Wiersze:</w:t>
      </w:r>
    </w:p>
    <w:p w14:paraId="1EF251B8" w14:textId="77777777" w:rsidR="00D41C60" w:rsidRPr="008E17C8" w:rsidRDefault="00D41C60" w:rsidP="00D41C60">
      <w:pPr>
        <w:jc w:val="both"/>
        <w:rPr>
          <w:rFonts w:ascii="Times New Roman" w:hAnsi="Times New Roman" w:cs="Times New Roman"/>
          <w:b/>
          <w:color w:val="00B050"/>
          <w:szCs w:val="16"/>
        </w:rPr>
      </w:pPr>
    </w:p>
    <w:p w14:paraId="5135C693" w14:textId="77777777" w:rsidR="00D41C60" w:rsidRPr="008E17C8" w:rsidRDefault="00D41C60" w:rsidP="00D41C60">
      <w:pPr>
        <w:jc w:val="both"/>
        <w:rPr>
          <w:rFonts w:ascii="Times New Roman" w:hAnsi="Times New Roman" w:cs="Times New Roman"/>
          <w:color w:val="00B050"/>
          <w:szCs w:val="16"/>
        </w:rPr>
      </w:pPr>
      <w:r w:rsidRPr="008E17C8">
        <w:rPr>
          <w:rFonts w:ascii="Times New Roman" w:hAnsi="Times New Roman" w:cs="Times New Roman"/>
          <w:b/>
          <w:color w:val="00B050"/>
          <w:szCs w:val="16"/>
        </w:rPr>
        <w:t xml:space="preserve">MŚP: </w:t>
      </w:r>
      <w:r w:rsidRPr="008E17C8">
        <w:rPr>
          <w:rFonts w:ascii="Times New Roman" w:hAnsi="Times New Roman" w:cs="Times New Roman"/>
          <w:color w:val="00B050"/>
          <w:szCs w:val="16"/>
        </w:rPr>
        <w:t xml:space="preserve">zob. definicja podana Tabeli 2 </w:t>
      </w:r>
    </w:p>
    <w:p w14:paraId="170FE13A" w14:textId="77777777" w:rsidR="00D41C60" w:rsidRPr="008E17C8" w:rsidRDefault="00D41C60" w:rsidP="00D41C60">
      <w:pPr>
        <w:jc w:val="both"/>
        <w:rPr>
          <w:rFonts w:ascii="Times New Roman" w:hAnsi="Times New Roman" w:cs="Times New Roman"/>
          <w:color w:val="00B050"/>
          <w:szCs w:val="16"/>
        </w:rPr>
      </w:pPr>
    </w:p>
    <w:p w14:paraId="57403028" w14:textId="77777777" w:rsidR="00D41C60" w:rsidRPr="008E17C8" w:rsidRDefault="00D41C60" w:rsidP="00D41C60">
      <w:pPr>
        <w:jc w:val="both"/>
        <w:rPr>
          <w:rFonts w:ascii="Times New Roman" w:hAnsi="Times New Roman" w:cs="Times New Roman"/>
          <w:b/>
          <w:color w:val="00B050"/>
          <w:szCs w:val="16"/>
          <w:u w:val="single"/>
        </w:rPr>
      </w:pPr>
      <w:r w:rsidRPr="008E17C8">
        <w:rPr>
          <w:rFonts w:ascii="Times New Roman" w:hAnsi="Times New Roman" w:cs="Times New Roman"/>
          <w:b/>
          <w:color w:val="00B050"/>
          <w:szCs w:val="16"/>
          <w:u w:val="single"/>
        </w:rPr>
        <w:t>Kolumny:</w:t>
      </w:r>
    </w:p>
    <w:p w14:paraId="54845050" w14:textId="77777777" w:rsidR="00D41C60" w:rsidRPr="008E17C8" w:rsidRDefault="00D41C60" w:rsidP="00D41C60">
      <w:pPr>
        <w:jc w:val="both"/>
        <w:rPr>
          <w:rFonts w:ascii="Times New Roman" w:hAnsi="Times New Roman" w:cs="Times New Roman"/>
          <w:b/>
          <w:color w:val="00B050"/>
          <w:szCs w:val="16"/>
        </w:rPr>
      </w:pPr>
    </w:p>
    <w:p w14:paraId="7309E879" w14:textId="77777777" w:rsidR="00D41C60" w:rsidRPr="008E17C8" w:rsidRDefault="00D41C60" w:rsidP="00D41C60">
      <w:pPr>
        <w:jc w:val="both"/>
        <w:rPr>
          <w:rFonts w:ascii="Times New Roman" w:hAnsi="Times New Roman" w:cs="Times New Roman"/>
          <w:color w:val="00B050"/>
          <w:szCs w:val="16"/>
        </w:rPr>
      </w:pPr>
      <w:r w:rsidRPr="008E17C8">
        <w:rPr>
          <w:rFonts w:ascii="Times New Roman" w:hAnsi="Times New Roman" w:cs="Times New Roman"/>
          <w:b/>
          <w:color w:val="00B050"/>
          <w:szCs w:val="16"/>
        </w:rPr>
        <w:t xml:space="preserve">Wartość bilansowa brutto: </w:t>
      </w:r>
      <w:r w:rsidRPr="008E17C8">
        <w:rPr>
          <w:rFonts w:ascii="Times New Roman" w:hAnsi="Times New Roman" w:cs="Times New Roman"/>
          <w:color w:val="00B050"/>
          <w:szCs w:val="16"/>
        </w:rPr>
        <w:t>zob. definicja podana w Tabeli 1 („Jakość kredytowa ekspozycji restrukturyzowanych”).</w:t>
      </w:r>
    </w:p>
    <w:p w14:paraId="5E285ADF" w14:textId="77777777" w:rsidR="00D41C60" w:rsidRPr="008E17C8" w:rsidRDefault="00D41C60" w:rsidP="00D41C60">
      <w:pPr>
        <w:jc w:val="both"/>
        <w:rPr>
          <w:rFonts w:ascii="Times New Roman" w:hAnsi="Times New Roman" w:cs="Times New Roman"/>
          <w:color w:val="00B050"/>
          <w:szCs w:val="16"/>
        </w:rPr>
      </w:pPr>
    </w:p>
    <w:p w14:paraId="4D331306" w14:textId="77777777" w:rsidR="00D41C60" w:rsidRPr="008E17C8" w:rsidRDefault="00D41C60" w:rsidP="00D41C60">
      <w:pPr>
        <w:jc w:val="both"/>
        <w:rPr>
          <w:rFonts w:ascii="Times New Roman" w:hAnsi="Times New Roman" w:cs="Times New Roman"/>
          <w:color w:val="00B050"/>
          <w:szCs w:val="16"/>
        </w:rPr>
      </w:pPr>
      <w:r w:rsidRPr="008E17C8">
        <w:rPr>
          <w:rFonts w:ascii="Times New Roman" w:hAnsi="Times New Roman" w:cs="Times New Roman"/>
          <w:b/>
          <w:color w:val="00B050"/>
          <w:szCs w:val="16"/>
        </w:rPr>
        <w:t xml:space="preserve">Ekspozycje nieobsługiwane: </w:t>
      </w:r>
      <w:r w:rsidRPr="008E17C8">
        <w:rPr>
          <w:rFonts w:ascii="Times New Roman" w:hAnsi="Times New Roman" w:cs="Times New Roman"/>
          <w:color w:val="00B050"/>
          <w:szCs w:val="16"/>
        </w:rPr>
        <w:t>zob. definicja podana w Tabeli 2 („Jakość kredytowa ekspozycji obsługiwanych i nieobsługiwanych w podziale według liczby dni przeterminowania”).</w:t>
      </w:r>
    </w:p>
    <w:p w14:paraId="3B6DAA3E" w14:textId="77777777" w:rsidR="00D41C60" w:rsidRPr="008E17C8" w:rsidRDefault="00D41C60" w:rsidP="00D41C60">
      <w:pPr>
        <w:jc w:val="both"/>
        <w:rPr>
          <w:rFonts w:ascii="Times New Roman" w:hAnsi="Times New Roman" w:cs="Times New Roman"/>
          <w:color w:val="00B050"/>
          <w:szCs w:val="16"/>
        </w:rPr>
      </w:pPr>
    </w:p>
    <w:p w14:paraId="7928D6ED" w14:textId="77777777" w:rsidR="00D41C60" w:rsidRPr="008E17C8" w:rsidRDefault="00D41C60" w:rsidP="00D41C60">
      <w:pPr>
        <w:jc w:val="both"/>
        <w:rPr>
          <w:rFonts w:ascii="Times New Roman" w:hAnsi="Times New Roman" w:cs="Times New Roman"/>
          <w:color w:val="00B050"/>
          <w:szCs w:val="16"/>
        </w:rPr>
      </w:pPr>
      <w:r w:rsidRPr="008E17C8">
        <w:rPr>
          <w:rFonts w:ascii="Times New Roman" w:hAnsi="Times New Roman" w:cs="Times New Roman"/>
          <w:b/>
          <w:color w:val="00B050"/>
          <w:szCs w:val="16"/>
        </w:rPr>
        <w:t xml:space="preserve">Skumulowana utrata wartości, skumulowane ujemne straty wartości godziwej z tytułu ryzyka kredytowego i rezerw: </w:t>
      </w:r>
      <w:r w:rsidRPr="008E17C8">
        <w:rPr>
          <w:rFonts w:ascii="Times New Roman" w:hAnsi="Times New Roman" w:cs="Times New Roman"/>
          <w:color w:val="00B050"/>
          <w:szCs w:val="16"/>
        </w:rPr>
        <w:t>zob. definicja podana w Tabeli 1 („Jakość kredytowa ekspozycji restrukturyzowanych”).</w:t>
      </w:r>
    </w:p>
    <w:p w14:paraId="2ECA2A19" w14:textId="77777777" w:rsidR="00D41C60" w:rsidRPr="008E17C8" w:rsidRDefault="00D41C60" w:rsidP="00D41C60">
      <w:pPr>
        <w:jc w:val="both"/>
        <w:rPr>
          <w:rFonts w:ascii="Times New Roman" w:hAnsi="Times New Roman" w:cs="Times New Roman"/>
          <w:color w:val="00B050"/>
          <w:szCs w:val="16"/>
        </w:rPr>
      </w:pPr>
    </w:p>
    <w:p w14:paraId="1CBDDF6B" w14:textId="77777777" w:rsidR="00D41C60" w:rsidRPr="008E17C8" w:rsidRDefault="00D41C60" w:rsidP="00D41C60">
      <w:pPr>
        <w:jc w:val="both"/>
        <w:rPr>
          <w:rFonts w:ascii="Times New Roman" w:hAnsi="Times New Roman" w:cs="Times New Roman"/>
          <w:color w:val="00B050"/>
          <w:szCs w:val="16"/>
        </w:rPr>
      </w:pPr>
      <w:r w:rsidRPr="008E17C8">
        <w:rPr>
          <w:rFonts w:ascii="Times New Roman" w:hAnsi="Times New Roman" w:cs="Times New Roman"/>
          <w:b/>
          <w:color w:val="00B050"/>
          <w:szCs w:val="16"/>
        </w:rPr>
        <w:t xml:space="preserve">Skumulowane odpisania częściowe: </w:t>
      </w:r>
      <w:r w:rsidRPr="008E17C8">
        <w:rPr>
          <w:rFonts w:ascii="Times New Roman" w:hAnsi="Times New Roman" w:cs="Times New Roman"/>
          <w:color w:val="00B050"/>
          <w:szCs w:val="16"/>
        </w:rPr>
        <w:t>tutaj należy ujmować skumulowaną częściową kwotę, na dzień odniesienia, kapitału i narosłych przeterminowanych odsetek oraz opłat z tytułu każdego instrumentu dłużnego, który w okresie do tego dnia przestano ujmować, z użyciem jednej z dwóch metod opisanych w załączniku V część 2 pkt 74 do rozporządzenia wykonawczego Komisji (UE) nr 680/2014, które należy zgłosić, gdyż instytucja nie może zasadnie oczekiwać odzyskania przepływów pieniężnych wynikających z treści umowy. Kwoty te zgłasza się do momentu całkowitego wygaśnięcia wszystkich praw instytucji (wskutek upływu terminu przedawnienia, umorzenia lub z innych przyczyn) lub do momentu ich odzyskania. Gdy kwoty odpisane nie są odzyskiwane, należy je więc zgłaszać w okresie, w którym podlegają egzekucji.</w:t>
      </w:r>
    </w:p>
    <w:p w14:paraId="3B30D9A6" w14:textId="77777777" w:rsidR="00D41C60" w:rsidRPr="008E17C8" w:rsidRDefault="00D41C60" w:rsidP="00D41C60">
      <w:pPr>
        <w:jc w:val="both"/>
        <w:rPr>
          <w:rFonts w:ascii="Times New Roman" w:hAnsi="Times New Roman" w:cs="Times New Roman"/>
          <w:color w:val="00B050"/>
          <w:szCs w:val="16"/>
        </w:rPr>
      </w:pPr>
    </w:p>
    <w:p w14:paraId="5C1A7D9C" w14:textId="77777777" w:rsidR="00D41C60" w:rsidRPr="008E17C8" w:rsidRDefault="00D41C60" w:rsidP="00D41C60">
      <w:pPr>
        <w:ind w:left="284"/>
        <w:jc w:val="both"/>
        <w:rPr>
          <w:rFonts w:ascii="Times New Roman" w:hAnsi="Times New Roman" w:cs="Times New Roman"/>
          <w:i/>
          <w:color w:val="00B050"/>
          <w:szCs w:val="16"/>
        </w:rPr>
      </w:pPr>
      <w:r w:rsidRPr="008E17C8">
        <w:rPr>
          <w:rFonts w:ascii="Times New Roman" w:hAnsi="Times New Roman" w:cs="Times New Roman"/>
          <w:i/>
          <w:color w:val="00B050"/>
          <w:szCs w:val="16"/>
        </w:rPr>
        <w:lastRenderedPageBreak/>
        <w:t>74. Spisania stanowią zdarzenie prowadzące do zaprzestania ujmowania i dotyczą całego składnika aktywów finansowych lub jego części, w tym również wówczas, gdy modyfikacja składnika aktywów sprawia, że instytucja rezygnuje z przysługującego jej prawa do otrzymywania przepływów pieniężnych z części lub całości tego składnika, jak dokładniej wyjaśniono w pkt 72. Spisania obejmują kwoty będące wynikiem zarówno zmniejszenia wartości bilansowej aktywów finansowych ujmowanego bezpośrednio w rachunku zysków i strat, jak i obniżenia kwot na kontach odpisów z tytułu utraty wartości z uwagi na straty kredytowe wpisane w ciężar wartości bilansowej aktywów finansowych.</w:t>
      </w:r>
    </w:p>
    <w:p w14:paraId="7F51AE5F" w14:textId="77777777" w:rsidR="00D41C60" w:rsidRPr="008E17C8" w:rsidRDefault="00D41C60" w:rsidP="00D41C60">
      <w:pPr>
        <w:jc w:val="both"/>
        <w:rPr>
          <w:rFonts w:ascii="Times New Roman" w:hAnsi="Times New Roman" w:cs="Times New Roman"/>
          <w:color w:val="00B050"/>
          <w:szCs w:val="16"/>
        </w:rPr>
      </w:pPr>
    </w:p>
    <w:p w14:paraId="7B9B7782" w14:textId="77777777" w:rsidR="00D41C60" w:rsidRPr="008E17C8" w:rsidRDefault="00D41C60" w:rsidP="00D41C60">
      <w:pPr>
        <w:jc w:val="both"/>
        <w:rPr>
          <w:rFonts w:ascii="Times New Roman" w:hAnsi="Times New Roman" w:cs="Times New Roman"/>
          <w:color w:val="00B050"/>
          <w:szCs w:val="16"/>
        </w:rPr>
      </w:pPr>
      <w:r w:rsidRPr="008E17C8">
        <w:rPr>
          <w:rFonts w:ascii="Times New Roman" w:hAnsi="Times New Roman" w:cs="Times New Roman"/>
          <w:color w:val="00B050"/>
          <w:szCs w:val="16"/>
        </w:rPr>
        <w:t>Odpisania stanowią zdarzenie prowadzące do zaprzestania ujmowania i odnoszą się do składnika aktywów finansowych w całości lub (w przypadku odpisania częściowego) do jego części, także gdy zmiana składnika aktywów prowadzi do tego, że instytucja rezygnuje z prawa do pobierania przepływów pieniężnych albo na część, albo na całość tego składnika aktywów.</w:t>
      </w:r>
    </w:p>
    <w:p w14:paraId="16449FF4" w14:textId="77777777" w:rsidR="00D41C60" w:rsidRPr="008E17C8" w:rsidRDefault="00D41C60" w:rsidP="00D41C60">
      <w:pPr>
        <w:jc w:val="both"/>
        <w:rPr>
          <w:rFonts w:ascii="Times New Roman" w:hAnsi="Times New Roman" w:cs="Times New Roman"/>
          <w:color w:val="00B050"/>
          <w:sz w:val="16"/>
          <w:szCs w:val="16"/>
        </w:rPr>
      </w:pPr>
    </w:p>
    <w:p w14:paraId="61B91281" w14:textId="77777777" w:rsidR="00D41C60" w:rsidRPr="008E17C8" w:rsidRDefault="00D41C60" w:rsidP="00D41C60">
      <w:pPr>
        <w:jc w:val="both"/>
        <w:rPr>
          <w:rFonts w:ascii="Times New Roman" w:hAnsi="Times New Roman" w:cs="Times New Roman"/>
          <w:color w:val="00B050"/>
          <w:sz w:val="16"/>
          <w:szCs w:val="16"/>
        </w:rPr>
      </w:pPr>
    </w:p>
    <w:p w14:paraId="1407C7EA" w14:textId="77777777" w:rsidR="00D41C60" w:rsidRPr="008E17C8" w:rsidRDefault="00D41C60" w:rsidP="00D41C60">
      <w:pPr>
        <w:jc w:val="both"/>
        <w:rPr>
          <w:rFonts w:ascii="Times New Roman" w:hAnsi="Times New Roman" w:cs="Times New Roman"/>
          <w:b/>
          <w:color w:val="FF0000"/>
          <w:szCs w:val="16"/>
        </w:rPr>
      </w:pPr>
      <w:r w:rsidRPr="008E17C8">
        <w:rPr>
          <w:rFonts w:ascii="Times New Roman" w:hAnsi="Times New Roman" w:cs="Times New Roman"/>
          <w:color w:val="FF0000"/>
          <w:szCs w:val="16"/>
        </w:rPr>
        <w:t xml:space="preserve">W tym etap 1/etap 2/etap 3: kategorie utraty wartości zgodnie z MSSF 9.5.5. </w:t>
      </w:r>
      <w:r w:rsidRPr="008E17C8">
        <w:rPr>
          <w:rFonts w:ascii="Times New Roman" w:hAnsi="Times New Roman" w:cs="Times New Roman"/>
          <w:b/>
          <w:color w:val="FF0000"/>
          <w:szCs w:val="16"/>
        </w:rPr>
        <w:t>Treść kolumn „W tym etap 1”, „W tym etap 2” i „W tym etap 3” nie powinna być zgłaszana przez instytucje stosujące krajowe ogólnie przyjęte zasady rachunkowości.</w:t>
      </w:r>
    </w:p>
    <w:p w14:paraId="098D28D0" w14:textId="77777777" w:rsidR="00D41C60" w:rsidRPr="008E17C8" w:rsidRDefault="00D41C60" w:rsidP="00D41C60">
      <w:pPr>
        <w:jc w:val="both"/>
        <w:rPr>
          <w:rFonts w:ascii="Times New Roman" w:hAnsi="Times New Roman" w:cs="Times New Roman"/>
          <w:b/>
          <w:color w:val="00B050"/>
          <w:szCs w:val="16"/>
        </w:rPr>
      </w:pPr>
    </w:p>
    <w:p w14:paraId="07636E03" w14:textId="77777777" w:rsidR="00D41C60" w:rsidRPr="008E17C8" w:rsidRDefault="00D41C60" w:rsidP="00D41C60">
      <w:pPr>
        <w:jc w:val="both"/>
        <w:rPr>
          <w:rFonts w:ascii="Times New Roman" w:hAnsi="Times New Roman" w:cs="Times New Roman"/>
          <w:color w:val="00B050"/>
          <w:szCs w:val="16"/>
        </w:rPr>
      </w:pPr>
      <w:r w:rsidRPr="008E17C8">
        <w:rPr>
          <w:rFonts w:ascii="Times New Roman" w:hAnsi="Times New Roman" w:cs="Times New Roman"/>
          <w:b/>
          <w:color w:val="00B050"/>
          <w:szCs w:val="16"/>
        </w:rPr>
        <w:t>Otrzymane zabezpieczenie i gwarancje</w:t>
      </w:r>
      <w:r w:rsidRPr="008E17C8">
        <w:rPr>
          <w:rFonts w:ascii="Times New Roman" w:hAnsi="Times New Roman" w:cs="Times New Roman"/>
          <w:color w:val="00B050"/>
          <w:szCs w:val="16"/>
        </w:rPr>
        <w:t>: zob. definicja podana w Tabeli 1 („Jakość kredytowa ekspozycji restrukturyzowanych”).</w:t>
      </w:r>
    </w:p>
    <w:p w14:paraId="0C801048" w14:textId="77777777" w:rsidR="00D41C60" w:rsidRPr="008E17C8" w:rsidRDefault="00D41C60" w:rsidP="00D41C60">
      <w:pPr>
        <w:spacing w:after="200" w:line="276" w:lineRule="auto"/>
        <w:rPr>
          <w:rFonts w:ascii="Times New Roman" w:hAnsi="Times New Roman" w:cs="Times New Roman"/>
        </w:rPr>
      </w:pPr>
      <w:r w:rsidRPr="008E17C8">
        <w:rPr>
          <w:rFonts w:ascii="Times New Roman" w:hAnsi="Times New Roman" w:cs="Times New Roman"/>
        </w:rPr>
        <w:br w:type="page"/>
      </w:r>
    </w:p>
    <w:p w14:paraId="27FD4D8F" w14:textId="77777777" w:rsidR="00D41C60" w:rsidRPr="008E17C8" w:rsidRDefault="00D41C60" w:rsidP="00D41C60">
      <w:pPr>
        <w:jc w:val="both"/>
        <w:rPr>
          <w:rFonts w:ascii="Times New Roman" w:hAnsi="Times New Roman" w:cs="Times New Roman"/>
          <w:b/>
          <w:szCs w:val="16"/>
          <w:u w:val="single"/>
        </w:rPr>
      </w:pPr>
      <w:r w:rsidRPr="008E17C8">
        <w:rPr>
          <w:rFonts w:ascii="Times New Roman" w:hAnsi="Times New Roman" w:cs="Times New Roman"/>
          <w:b/>
          <w:szCs w:val="16"/>
          <w:u w:val="single"/>
        </w:rPr>
        <w:lastRenderedPageBreak/>
        <w:t>Tabela 4: Zabezpieczenie uzyskane przez przejęcie i postępowania egzekucyjne</w:t>
      </w:r>
    </w:p>
    <w:p w14:paraId="3B9531A7" w14:textId="77777777" w:rsidR="00D41C60" w:rsidRPr="008E17C8" w:rsidRDefault="00D41C60" w:rsidP="00D41C60">
      <w:pPr>
        <w:jc w:val="both"/>
        <w:rPr>
          <w:rFonts w:ascii="Times New Roman" w:hAnsi="Times New Roman" w:cs="Times New Roman"/>
          <w:szCs w:val="16"/>
        </w:rPr>
      </w:pPr>
    </w:p>
    <w:p w14:paraId="659EB12D" w14:textId="77777777" w:rsidR="00D41C60" w:rsidRPr="008E17C8" w:rsidRDefault="00D41C60" w:rsidP="00D41C60">
      <w:pPr>
        <w:jc w:val="both"/>
        <w:rPr>
          <w:rFonts w:ascii="Times New Roman" w:hAnsi="Times New Roman" w:cs="Times New Roman"/>
          <w:szCs w:val="16"/>
        </w:rPr>
      </w:pPr>
      <w:r w:rsidRPr="008E17C8">
        <w:rPr>
          <w:rFonts w:ascii="Times New Roman" w:hAnsi="Times New Roman" w:cs="Times New Roman"/>
          <w:b/>
          <w:szCs w:val="16"/>
        </w:rPr>
        <w:t>Częstotliwość raportowania</w:t>
      </w:r>
      <w:r w:rsidRPr="008E17C8">
        <w:rPr>
          <w:rFonts w:ascii="Times New Roman" w:hAnsi="Times New Roman" w:cs="Times New Roman"/>
          <w:szCs w:val="16"/>
        </w:rPr>
        <w:t>: raz w roku</w:t>
      </w:r>
    </w:p>
    <w:p w14:paraId="13FFFF90" w14:textId="77777777" w:rsidR="00D41C60" w:rsidRPr="008E17C8" w:rsidRDefault="00D41C60" w:rsidP="00D41C60">
      <w:pPr>
        <w:jc w:val="both"/>
        <w:rPr>
          <w:rFonts w:ascii="Times New Roman" w:hAnsi="Times New Roman" w:cs="Times New Roman"/>
          <w:szCs w:val="16"/>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4109"/>
        <w:gridCol w:w="4749"/>
        <w:gridCol w:w="4750"/>
      </w:tblGrid>
      <w:tr w:rsidR="00D41C60" w:rsidRPr="008E17C8" w14:paraId="449CDCC6" w14:textId="77777777" w:rsidTr="00B06E6D">
        <w:tc>
          <w:tcPr>
            <w:tcW w:w="421" w:type="dxa"/>
            <w:vMerge w:val="restart"/>
          </w:tcPr>
          <w:p w14:paraId="5EFC0696" w14:textId="77777777" w:rsidR="00D41C60" w:rsidRPr="008E17C8" w:rsidRDefault="00D41C60" w:rsidP="00B06E6D">
            <w:pPr>
              <w:jc w:val="both"/>
              <w:rPr>
                <w:rFonts w:ascii="Times New Roman" w:hAnsi="Times New Roman" w:cs="Times New Roman"/>
                <w:sz w:val="20"/>
                <w:szCs w:val="20"/>
              </w:rPr>
            </w:pPr>
          </w:p>
        </w:tc>
        <w:tc>
          <w:tcPr>
            <w:tcW w:w="4109" w:type="dxa"/>
            <w:vMerge w:val="restart"/>
          </w:tcPr>
          <w:p w14:paraId="05958914" w14:textId="77777777" w:rsidR="00D41C60" w:rsidRPr="008E17C8" w:rsidRDefault="00D41C60" w:rsidP="00B06E6D">
            <w:pPr>
              <w:jc w:val="both"/>
              <w:rPr>
                <w:rFonts w:ascii="Times New Roman" w:hAnsi="Times New Roman" w:cs="Times New Roman"/>
                <w:sz w:val="20"/>
                <w:szCs w:val="20"/>
              </w:rPr>
            </w:pPr>
          </w:p>
        </w:tc>
        <w:tc>
          <w:tcPr>
            <w:tcW w:w="9499" w:type="dxa"/>
            <w:gridSpan w:val="2"/>
          </w:tcPr>
          <w:p w14:paraId="54B87CE9" w14:textId="77777777" w:rsidR="00D41C60" w:rsidRPr="008E17C8" w:rsidRDefault="00D41C60" w:rsidP="00B06E6D">
            <w:pPr>
              <w:jc w:val="center"/>
              <w:rPr>
                <w:rFonts w:ascii="Times New Roman" w:hAnsi="Times New Roman" w:cs="Times New Roman"/>
                <w:sz w:val="20"/>
                <w:szCs w:val="20"/>
              </w:rPr>
            </w:pPr>
            <w:r w:rsidRPr="008E17C8">
              <w:rPr>
                <w:rFonts w:ascii="Times New Roman" w:hAnsi="Times New Roman" w:cs="Times New Roman"/>
                <w:sz w:val="20"/>
                <w:szCs w:val="20"/>
              </w:rPr>
              <w:t>Zabezpieczenie uzyskane przez przejęcie</w:t>
            </w:r>
          </w:p>
        </w:tc>
      </w:tr>
      <w:tr w:rsidR="00B06E6D" w:rsidRPr="008E17C8" w14:paraId="7D74BCDB" w14:textId="77777777" w:rsidTr="00B06E6D">
        <w:tc>
          <w:tcPr>
            <w:tcW w:w="421" w:type="dxa"/>
            <w:vMerge/>
          </w:tcPr>
          <w:p w14:paraId="50CE6182" w14:textId="77777777" w:rsidR="00D41C60" w:rsidRPr="008E17C8" w:rsidRDefault="00D41C60" w:rsidP="00B06E6D">
            <w:pPr>
              <w:jc w:val="both"/>
              <w:rPr>
                <w:rFonts w:ascii="Times New Roman" w:hAnsi="Times New Roman" w:cs="Times New Roman"/>
                <w:sz w:val="20"/>
                <w:szCs w:val="20"/>
              </w:rPr>
            </w:pPr>
          </w:p>
        </w:tc>
        <w:tc>
          <w:tcPr>
            <w:tcW w:w="4109" w:type="dxa"/>
            <w:vMerge/>
          </w:tcPr>
          <w:p w14:paraId="187FA04E" w14:textId="77777777" w:rsidR="00D41C60" w:rsidRPr="008E17C8" w:rsidRDefault="00D41C60" w:rsidP="00B06E6D">
            <w:pPr>
              <w:jc w:val="both"/>
              <w:rPr>
                <w:rFonts w:ascii="Times New Roman" w:hAnsi="Times New Roman" w:cs="Times New Roman"/>
                <w:sz w:val="20"/>
                <w:szCs w:val="20"/>
              </w:rPr>
            </w:pPr>
          </w:p>
        </w:tc>
        <w:tc>
          <w:tcPr>
            <w:tcW w:w="4749" w:type="dxa"/>
            <w:vAlign w:val="bottom"/>
          </w:tcPr>
          <w:p w14:paraId="73358F46" w14:textId="77777777" w:rsidR="00D41C60" w:rsidRPr="008E17C8" w:rsidRDefault="00D41C60" w:rsidP="00B06E6D">
            <w:pPr>
              <w:pStyle w:val="Default"/>
              <w:jc w:val="center"/>
              <w:rPr>
                <w:sz w:val="20"/>
                <w:szCs w:val="20"/>
              </w:rPr>
            </w:pPr>
            <w:r w:rsidRPr="008E17C8">
              <w:rPr>
                <w:sz w:val="20"/>
                <w:szCs w:val="20"/>
              </w:rPr>
              <w:t>Wartość w momencie początkowego ujęcia</w:t>
            </w:r>
          </w:p>
          <w:p w14:paraId="68C66072" w14:textId="77777777" w:rsidR="00D41C60" w:rsidRPr="008E17C8" w:rsidRDefault="00D41C60" w:rsidP="00B06E6D">
            <w:pPr>
              <w:jc w:val="center"/>
              <w:rPr>
                <w:rFonts w:ascii="Times New Roman" w:hAnsi="Times New Roman" w:cs="Times New Roman"/>
                <w:sz w:val="20"/>
                <w:szCs w:val="20"/>
              </w:rPr>
            </w:pPr>
          </w:p>
        </w:tc>
        <w:tc>
          <w:tcPr>
            <w:tcW w:w="4750" w:type="dxa"/>
            <w:vAlign w:val="bottom"/>
          </w:tcPr>
          <w:p w14:paraId="1D6EE489" w14:textId="77777777" w:rsidR="00D41C60" w:rsidRPr="008E17C8" w:rsidRDefault="00D41C60" w:rsidP="00B06E6D">
            <w:pPr>
              <w:pStyle w:val="Default"/>
              <w:jc w:val="center"/>
              <w:rPr>
                <w:sz w:val="20"/>
                <w:szCs w:val="20"/>
              </w:rPr>
            </w:pPr>
            <w:r w:rsidRPr="008E17C8">
              <w:rPr>
                <w:sz w:val="20"/>
                <w:szCs w:val="20"/>
              </w:rPr>
              <w:t>Skumulowane ujemne zmiany</w:t>
            </w:r>
          </w:p>
          <w:p w14:paraId="42421D8F" w14:textId="77777777" w:rsidR="00D41C60" w:rsidRPr="008E17C8" w:rsidRDefault="00D41C60" w:rsidP="00B06E6D">
            <w:pPr>
              <w:jc w:val="center"/>
              <w:rPr>
                <w:rFonts w:ascii="Times New Roman" w:hAnsi="Times New Roman" w:cs="Times New Roman"/>
                <w:sz w:val="20"/>
                <w:szCs w:val="20"/>
              </w:rPr>
            </w:pPr>
          </w:p>
        </w:tc>
      </w:tr>
      <w:tr w:rsidR="00B06E6D" w:rsidRPr="008E17C8" w14:paraId="48528B32" w14:textId="77777777" w:rsidTr="00B06E6D">
        <w:tc>
          <w:tcPr>
            <w:tcW w:w="421" w:type="dxa"/>
          </w:tcPr>
          <w:p w14:paraId="027E0976"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1</w:t>
            </w:r>
          </w:p>
        </w:tc>
        <w:tc>
          <w:tcPr>
            <w:tcW w:w="4109" w:type="dxa"/>
          </w:tcPr>
          <w:p w14:paraId="383D968F" w14:textId="77777777" w:rsidR="00D41C60" w:rsidRPr="008E17C8" w:rsidRDefault="00D41C60" w:rsidP="00B06E6D">
            <w:pPr>
              <w:pStyle w:val="Default"/>
              <w:jc w:val="both"/>
              <w:rPr>
                <w:sz w:val="20"/>
                <w:szCs w:val="20"/>
              </w:rPr>
            </w:pPr>
            <w:r w:rsidRPr="008E17C8">
              <w:rPr>
                <w:sz w:val="20"/>
                <w:szCs w:val="20"/>
              </w:rPr>
              <w:t xml:space="preserve">Rzeczowe aktywa trwałe </w:t>
            </w:r>
          </w:p>
        </w:tc>
        <w:tc>
          <w:tcPr>
            <w:tcW w:w="4749" w:type="dxa"/>
          </w:tcPr>
          <w:p w14:paraId="2DC5C99D" w14:textId="77777777" w:rsidR="00D41C60" w:rsidRPr="008E17C8" w:rsidRDefault="00D41C60" w:rsidP="00B06E6D">
            <w:pPr>
              <w:jc w:val="both"/>
              <w:rPr>
                <w:rFonts w:ascii="Times New Roman" w:hAnsi="Times New Roman" w:cs="Times New Roman"/>
                <w:sz w:val="20"/>
                <w:szCs w:val="20"/>
              </w:rPr>
            </w:pPr>
          </w:p>
        </w:tc>
        <w:tc>
          <w:tcPr>
            <w:tcW w:w="4750" w:type="dxa"/>
          </w:tcPr>
          <w:p w14:paraId="17D45877" w14:textId="77777777" w:rsidR="00D41C60" w:rsidRPr="008E17C8" w:rsidRDefault="00D41C60" w:rsidP="00B06E6D">
            <w:pPr>
              <w:jc w:val="both"/>
              <w:rPr>
                <w:rFonts w:ascii="Times New Roman" w:hAnsi="Times New Roman" w:cs="Times New Roman"/>
                <w:sz w:val="20"/>
                <w:szCs w:val="20"/>
              </w:rPr>
            </w:pPr>
          </w:p>
        </w:tc>
      </w:tr>
      <w:tr w:rsidR="00B06E6D" w:rsidRPr="008E17C8" w14:paraId="70349F78" w14:textId="77777777" w:rsidTr="00B06E6D">
        <w:tc>
          <w:tcPr>
            <w:tcW w:w="421" w:type="dxa"/>
          </w:tcPr>
          <w:p w14:paraId="21B2DF53"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2</w:t>
            </w:r>
          </w:p>
        </w:tc>
        <w:tc>
          <w:tcPr>
            <w:tcW w:w="4109" w:type="dxa"/>
          </w:tcPr>
          <w:p w14:paraId="662E24AE" w14:textId="77777777" w:rsidR="00D41C60" w:rsidRPr="008E17C8" w:rsidRDefault="00D41C60" w:rsidP="00B06E6D">
            <w:pPr>
              <w:pStyle w:val="Default"/>
              <w:jc w:val="both"/>
              <w:rPr>
                <w:sz w:val="20"/>
                <w:szCs w:val="20"/>
              </w:rPr>
            </w:pPr>
            <w:r w:rsidRPr="008E17C8">
              <w:rPr>
                <w:sz w:val="20"/>
                <w:szCs w:val="20"/>
              </w:rPr>
              <w:t xml:space="preserve">Inne niż rzeczowe aktywa trwałe </w:t>
            </w:r>
          </w:p>
        </w:tc>
        <w:tc>
          <w:tcPr>
            <w:tcW w:w="4749" w:type="dxa"/>
          </w:tcPr>
          <w:p w14:paraId="13420387" w14:textId="77777777" w:rsidR="00D41C60" w:rsidRPr="008E17C8" w:rsidRDefault="00D41C60" w:rsidP="00B06E6D">
            <w:pPr>
              <w:jc w:val="both"/>
              <w:rPr>
                <w:rFonts w:ascii="Times New Roman" w:hAnsi="Times New Roman" w:cs="Times New Roman"/>
                <w:sz w:val="20"/>
                <w:szCs w:val="20"/>
              </w:rPr>
            </w:pPr>
          </w:p>
        </w:tc>
        <w:tc>
          <w:tcPr>
            <w:tcW w:w="4750" w:type="dxa"/>
          </w:tcPr>
          <w:p w14:paraId="668DFD20" w14:textId="77777777" w:rsidR="00D41C60" w:rsidRPr="008E17C8" w:rsidRDefault="00D41C60" w:rsidP="00B06E6D">
            <w:pPr>
              <w:jc w:val="both"/>
              <w:rPr>
                <w:rFonts w:ascii="Times New Roman" w:hAnsi="Times New Roman" w:cs="Times New Roman"/>
                <w:sz w:val="20"/>
                <w:szCs w:val="20"/>
              </w:rPr>
            </w:pPr>
          </w:p>
        </w:tc>
      </w:tr>
      <w:tr w:rsidR="00B06E6D" w:rsidRPr="008E17C8" w14:paraId="187EE124" w14:textId="77777777" w:rsidTr="00B06E6D">
        <w:tc>
          <w:tcPr>
            <w:tcW w:w="421" w:type="dxa"/>
          </w:tcPr>
          <w:p w14:paraId="2DD6BF8C"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3</w:t>
            </w:r>
          </w:p>
        </w:tc>
        <w:tc>
          <w:tcPr>
            <w:tcW w:w="4109" w:type="dxa"/>
          </w:tcPr>
          <w:p w14:paraId="227F2891" w14:textId="77777777" w:rsidR="00D41C60" w:rsidRPr="008E17C8" w:rsidRDefault="00D41C60" w:rsidP="00B06E6D">
            <w:pPr>
              <w:pStyle w:val="Default"/>
              <w:jc w:val="both"/>
              <w:rPr>
                <w:i/>
                <w:sz w:val="20"/>
                <w:szCs w:val="20"/>
              </w:rPr>
            </w:pPr>
            <w:r w:rsidRPr="008E17C8">
              <w:rPr>
                <w:i/>
                <w:iCs/>
                <w:sz w:val="20"/>
                <w:szCs w:val="20"/>
              </w:rPr>
              <w:t xml:space="preserve">Nieruchomości mieszkalne </w:t>
            </w:r>
          </w:p>
        </w:tc>
        <w:tc>
          <w:tcPr>
            <w:tcW w:w="4749" w:type="dxa"/>
          </w:tcPr>
          <w:p w14:paraId="0343F9D4" w14:textId="77777777" w:rsidR="00D41C60" w:rsidRPr="008E17C8" w:rsidRDefault="00D41C60" w:rsidP="00B06E6D">
            <w:pPr>
              <w:jc w:val="both"/>
              <w:rPr>
                <w:rFonts w:ascii="Times New Roman" w:hAnsi="Times New Roman" w:cs="Times New Roman"/>
                <w:sz w:val="20"/>
                <w:szCs w:val="20"/>
              </w:rPr>
            </w:pPr>
          </w:p>
        </w:tc>
        <w:tc>
          <w:tcPr>
            <w:tcW w:w="4750" w:type="dxa"/>
          </w:tcPr>
          <w:p w14:paraId="61D3E180" w14:textId="77777777" w:rsidR="00D41C60" w:rsidRPr="008E17C8" w:rsidRDefault="00D41C60" w:rsidP="00B06E6D">
            <w:pPr>
              <w:jc w:val="both"/>
              <w:rPr>
                <w:rFonts w:ascii="Times New Roman" w:hAnsi="Times New Roman" w:cs="Times New Roman"/>
                <w:sz w:val="20"/>
                <w:szCs w:val="20"/>
              </w:rPr>
            </w:pPr>
          </w:p>
        </w:tc>
      </w:tr>
      <w:tr w:rsidR="00B06E6D" w:rsidRPr="008E17C8" w14:paraId="3AE186DC" w14:textId="77777777" w:rsidTr="00B06E6D">
        <w:tc>
          <w:tcPr>
            <w:tcW w:w="421" w:type="dxa"/>
          </w:tcPr>
          <w:p w14:paraId="568FF34D"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4</w:t>
            </w:r>
          </w:p>
        </w:tc>
        <w:tc>
          <w:tcPr>
            <w:tcW w:w="4109" w:type="dxa"/>
          </w:tcPr>
          <w:p w14:paraId="6B75A6EA" w14:textId="77777777" w:rsidR="00D41C60" w:rsidRPr="008E17C8" w:rsidRDefault="00D41C60" w:rsidP="00B06E6D">
            <w:pPr>
              <w:jc w:val="both"/>
              <w:rPr>
                <w:rFonts w:ascii="Times New Roman" w:hAnsi="Times New Roman" w:cs="Times New Roman"/>
                <w:i/>
                <w:sz w:val="20"/>
                <w:szCs w:val="20"/>
              </w:rPr>
            </w:pPr>
            <w:r w:rsidRPr="008E17C8">
              <w:rPr>
                <w:rFonts w:ascii="Times New Roman" w:hAnsi="Times New Roman" w:cs="Times New Roman"/>
                <w:i/>
                <w:sz w:val="20"/>
                <w:szCs w:val="20"/>
              </w:rPr>
              <w:t>Nieruchomości komercyjne</w:t>
            </w:r>
          </w:p>
        </w:tc>
        <w:tc>
          <w:tcPr>
            <w:tcW w:w="4749" w:type="dxa"/>
          </w:tcPr>
          <w:p w14:paraId="1B9145F6" w14:textId="77777777" w:rsidR="00D41C60" w:rsidRPr="008E17C8" w:rsidRDefault="00D41C60" w:rsidP="00B06E6D">
            <w:pPr>
              <w:jc w:val="both"/>
              <w:rPr>
                <w:rFonts w:ascii="Times New Roman" w:hAnsi="Times New Roman" w:cs="Times New Roman"/>
                <w:sz w:val="20"/>
                <w:szCs w:val="20"/>
              </w:rPr>
            </w:pPr>
          </w:p>
        </w:tc>
        <w:tc>
          <w:tcPr>
            <w:tcW w:w="4750" w:type="dxa"/>
          </w:tcPr>
          <w:p w14:paraId="2F35B806" w14:textId="77777777" w:rsidR="00D41C60" w:rsidRPr="008E17C8" w:rsidRDefault="00D41C60" w:rsidP="00B06E6D">
            <w:pPr>
              <w:jc w:val="both"/>
              <w:rPr>
                <w:rFonts w:ascii="Times New Roman" w:hAnsi="Times New Roman" w:cs="Times New Roman"/>
                <w:sz w:val="20"/>
                <w:szCs w:val="20"/>
              </w:rPr>
            </w:pPr>
          </w:p>
        </w:tc>
      </w:tr>
      <w:tr w:rsidR="00B06E6D" w:rsidRPr="008E17C8" w14:paraId="60C863ED" w14:textId="77777777" w:rsidTr="00B06E6D">
        <w:tc>
          <w:tcPr>
            <w:tcW w:w="421" w:type="dxa"/>
          </w:tcPr>
          <w:p w14:paraId="78FF871A"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5</w:t>
            </w:r>
          </w:p>
        </w:tc>
        <w:tc>
          <w:tcPr>
            <w:tcW w:w="4109" w:type="dxa"/>
          </w:tcPr>
          <w:p w14:paraId="7DEEE0D6" w14:textId="77777777" w:rsidR="00D41C60" w:rsidRPr="008E17C8" w:rsidRDefault="00D41C60" w:rsidP="00B06E6D">
            <w:pPr>
              <w:jc w:val="both"/>
              <w:rPr>
                <w:rFonts w:ascii="Times New Roman" w:hAnsi="Times New Roman" w:cs="Times New Roman"/>
                <w:i/>
                <w:sz w:val="20"/>
                <w:szCs w:val="20"/>
              </w:rPr>
            </w:pPr>
            <w:r w:rsidRPr="008E17C8">
              <w:rPr>
                <w:rFonts w:ascii="Times New Roman" w:hAnsi="Times New Roman" w:cs="Times New Roman"/>
                <w:i/>
                <w:sz w:val="20"/>
                <w:szCs w:val="20"/>
              </w:rPr>
              <w:t>Ruchomości (samochody, środki transportu itp.)</w:t>
            </w:r>
          </w:p>
        </w:tc>
        <w:tc>
          <w:tcPr>
            <w:tcW w:w="4749" w:type="dxa"/>
          </w:tcPr>
          <w:p w14:paraId="50345D43" w14:textId="77777777" w:rsidR="00D41C60" w:rsidRPr="008E17C8" w:rsidRDefault="00D41C60" w:rsidP="00B06E6D">
            <w:pPr>
              <w:jc w:val="both"/>
              <w:rPr>
                <w:rFonts w:ascii="Times New Roman" w:hAnsi="Times New Roman" w:cs="Times New Roman"/>
                <w:sz w:val="20"/>
                <w:szCs w:val="20"/>
              </w:rPr>
            </w:pPr>
          </w:p>
        </w:tc>
        <w:tc>
          <w:tcPr>
            <w:tcW w:w="4750" w:type="dxa"/>
          </w:tcPr>
          <w:p w14:paraId="03EAC65C" w14:textId="77777777" w:rsidR="00D41C60" w:rsidRPr="008E17C8" w:rsidRDefault="00D41C60" w:rsidP="00B06E6D">
            <w:pPr>
              <w:jc w:val="both"/>
              <w:rPr>
                <w:rFonts w:ascii="Times New Roman" w:hAnsi="Times New Roman" w:cs="Times New Roman"/>
                <w:sz w:val="20"/>
                <w:szCs w:val="20"/>
              </w:rPr>
            </w:pPr>
          </w:p>
        </w:tc>
      </w:tr>
      <w:tr w:rsidR="00B06E6D" w:rsidRPr="008E17C8" w14:paraId="6A07FE01" w14:textId="77777777" w:rsidTr="00B06E6D">
        <w:tc>
          <w:tcPr>
            <w:tcW w:w="421" w:type="dxa"/>
          </w:tcPr>
          <w:p w14:paraId="02AE7742"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6</w:t>
            </w:r>
          </w:p>
        </w:tc>
        <w:tc>
          <w:tcPr>
            <w:tcW w:w="4109" w:type="dxa"/>
          </w:tcPr>
          <w:p w14:paraId="7A21D1A0" w14:textId="77777777" w:rsidR="00D41C60" w:rsidRPr="008E17C8" w:rsidRDefault="00D41C60" w:rsidP="00B06E6D">
            <w:pPr>
              <w:jc w:val="both"/>
              <w:rPr>
                <w:rFonts w:ascii="Times New Roman" w:hAnsi="Times New Roman" w:cs="Times New Roman"/>
                <w:i/>
                <w:sz w:val="20"/>
                <w:szCs w:val="20"/>
              </w:rPr>
            </w:pPr>
            <w:r w:rsidRPr="008E17C8">
              <w:rPr>
                <w:rFonts w:ascii="Times New Roman" w:hAnsi="Times New Roman" w:cs="Times New Roman"/>
                <w:i/>
                <w:sz w:val="20"/>
                <w:szCs w:val="20"/>
              </w:rPr>
              <w:t>Kapitał własny i instrumenty dłużne</w:t>
            </w:r>
          </w:p>
        </w:tc>
        <w:tc>
          <w:tcPr>
            <w:tcW w:w="4749" w:type="dxa"/>
          </w:tcPr>
          <w:p w14:paraId="7E73DF3C" w14:textId="77777777" w:rsidR="00D41C60" w:rsidRPr="008E17C8" w:rsidRDefault="00D41C60" w:rsidP="00B06E6D">
            <w:pPr>
              <w:jc w:val="both"/>
              <w:rPr>
                <w:rFonts w:ascii="Times New Roman" w:hAnsi="Times New Roman" w:cs="Times New Roman"/>
                <w:sz w:val="20"/>
                <w:szCs w:val="20"/>
              </w:rPr>
            </w:pPr>
          </w:p>
        </w:tc>
        <w:tc>
          <w:tcPr>
            <w:tcW w:w="4750" w:type="dxa"/>
          </w:tcPr>
          <w:p w14:paraId="3E47F828" w14:textId="77777777" w:rsidR="00D41C60" w:rsidRPr="008E17C8" w:rsidRDefault="00D41C60" w:rsidP="00B06E6D">
            <w:pPr>
              <w:jc w:val="both"/>
              <w:rPr>
                <w:rFonts w:ascii="Times New Roman" w:hAnsi="Times New Roman" w:cs="Times New Roman"/>
                <w:sz w:val="20"/>
                <w:szCs w:val="20"/>
              </w:rPr>
            </w:pPr>
          </w:p>
        </w:tc>
      </w:tr>
      <w:tr w:rsidR="00B06E6D" w:rsidRPr="008E17C8" w14:paraId="5380D1ED" w14:textId="77777777" w:rsidTr="00B06E6D">
        <w:tc>
          <w:tcPr>
            <w:tcW w:w="421" w:type="dxa"/>
          </w:tcPr>
          <w:p w14:paraId="4FA866A5" w14:textId="77777777" w:rsidR="00D41C60" w:rsidRPr="008E17C8" w:rsidRDefault="00D41C60" w:rsidP="00B06E6D">
            <w:pPr>
              <w:jc w:val="both"/>
              <w:rPr>
                <w:rFonts w:ascii="Times New Roman" w:hAnsi="Times New Roman" w:cs="Times New Roman"/>
                <w:sz w:val="20"/>
                <w:szCs w:val="20"/>
              </w:rPr>
            </w:pPr>
            <w:r w:rsidRPr="008E17C8">
              <w:rPr>
                <w:rFonts w:ascii="Times New Roman" w:hAnsi="Times New Roman" w:cs="Times New Roman"/>
                <w:sz w:val="20"/>
                <w:szCs w:val="20"/>
              </w:rPr>
              <w:t>7</w:t>
            </w:r>
          </w:p>
        </w:tc>
        <w:tc>
          <w:tcPr>
            <w:tcW w:w="4109" w:type="dxa"/>
          </w:tcPr>
          <w:p w14:paraId="0A76B291" w14:textId="77777777" w:rsidR="00D41C60" w:rsidRPr="008E17C8" w:rsidRDefault="00D41C60" w:rsidP="00B06E6D">
            <w:pPr>
              <w:jc w:val="both"/>
              <w:rPr>
                <w:rFonts w:ascii="Times New Roman" w:hAnsi="Times New Roman" w:cs="Times New Roman"/>
                <w:i/>
                <w:sz w:val="20"/>
                <w:szCs w:val="20"/>
              </w:rPr>
            </w:pPr>
            <w:r w:rsidRPr="008E17C8">
              <w:rPr>
                <w:rFonts w:ascii="Times New Roman" w:hAnsi="Times New Roman" w:cs="Times New Roman"/>
                <w:i/>
                <w:sz w:val="20"/>
                <w:szCs w:val="20"/>
              </w:rPr>
              <w:t>Pozostałe</w:t>
            </w:r>
          </w:p>
        </w:tc>
        <w:tc>
          <w:tcPr>
            <w:tcW w:w="4749" w:type="dxa"/>
          </w:tcPr>
          <w:p w14:paraId="06AD2A5D" w14:textId="77777777" w:rsidR="00D41C60" w:rsidRPr="008E17C8" w:rsidRDefault="00D41C60" w:rsidP="00B06E6D">
            <w:pPr>
              <w:jc w:val="both"/>
              <w:rPr>
                <w:rFonts w:ascii="Times New Roman" w:hAnsi="Times New Roman" w:cs="Times New Roman"/>
                <w:sz w:val="20"/>
                <w:szCs w:val="20"/>
              </w:rPr>
            </w:pPr>
          </w:p>
        </w:tc>
        <w:tc>
          <w:tcPr>
            <w:tcW w:w="4750" w:type="dxa"/>
          </w:tcPr>
          <w:p w14:paraId="3C3EE26A" w14:textId="77777777" w:rsidR="00D41C60" w:rsidRPr="008E17C8" w:rsidRDefault="00D41C60" w:rsidP="00B06E6D">
            <w:pPr>
              <w:jc w:val="both"/>
              <w:rPr>
                <w:rFonts w:ascii="Times New Roman" w:hAnsi="Times New Roman" w:cs="Times New Roman"/>
                <w:sz w:val="20"/>
                <w:szCs w:val="20"/>
              </w:rPr>
            </w:pPr>
          </w:p>
        </w:tc>
      </w:tr>
      <w:tr w:rsidR="00B06E6D" w:rsidRPr="008E17C8" w14:paraId="62F855EB" w14:textId="77777777" w:rsidTr="00B06E6D">
        <w:tc>
          <w:tcPr>
            <w:tcW w:w="421" w:type="dxa"/>
          </w:tcPr>
          <w:p w14:paraId="10024DA3" w14:textId="77777777" w:rsidR="00D41C60" w:rsidRPr="008E17C8" w:rsidRDefault="00D41C60" w:rsidP="00B06E6D">
            <w:pPr>
              <w:jc w:val="both"/>
              <w:rPr>
                <w:rFonts w:ascii="Times New Roman" w:hAnsi="Times New Roman" w:cs="Times New Roman"/>
                <w:b/>
                <w:sz w:val="20"/>
                <w:szCs w:val="20"/>
              </w:rPr>
            </w:pPr>
            <w:r w:rsidRPr="008E17C8">
              <w:rPr>
                <w:rFonts w:ascii="Times New Roman" w:hAnsi="Times New Roman" w:cs="Times New Roman"/>
                <w:b/>
                <w:sz w:val="20"/>
                <w:szCs w:val="20"/>
              </w:rPr>
              <w:t>8</w:t>
            </w:r>
          </w:p>
        </w:tc>
        <w:tc>
          <w:tcPr>
            <w:tcW w:w="4109" w:type="dxa"/>
          </w:tcPr>
          <w:p w14:paraId="43692634" w14:textId="77777777" w:rsidR="00D41C60" w:rsidRPr="008E17C8" w:rsidRDefault="00D41C60" w:rsidP="00B06E6D">
            <w:pPr>
              <w:jc w:val="both"/>
              <w:rPr>
                <w:rFonts w:ascii="Times New Roman" w:hAnsi="Times New Roman" w:cs="Times New Roman"/>
                <w:b/>
                <w:sz w:val="20"/>
                <w:szCs w:val="20"/>
              </w:rPr>
            </w:pPr>
            <w:r w:rsidRPr="008E17C8">
              <w:rPr>
                <w:rFonts w:ascii="Times New Roman" w:hAnsi="Times New Roman" w:cs="Times New Roman"/>
                <w:b/>
                <w:sz w:val="20"/>
                <w:szCs w:val="20"/>
              </w:rPr>
              <w:t>Łącznie</w:t>
            </w:r>
          </w:p>
        </w:tc>
        <w:tc>
          <w:tcPr>
            <w:tcW w:w="4749" w:type="dxa"/>
          </w:tcPr>
          <w:p w14:paraId="33EB7760" w14:textId="77777777" w:rsidR="00D41C60" w:rsidRPr="008E17C8" w:rsidRDefault="00D41C60" w:rsidP="00B06E6D">
            <w:pPr>
              <w:jc w:val="both"/>
              <w:rPr>
                <w:rFonts w:ascii="Times New Roman" w:hAnsi="Times New Roman" w:cs="Times New Roman"/>
                <w:b/>
                <w:sz w:val="20"/>
                <w:szCs w:val="20"/>
              </w:rPr>
            </w:pPr>
          </w:p>
        </w:tc>
        <w:tc>
          <w:tcPr>
            <w:tcW w:w="4750" w:type="dxa"/>
          </w:tcPr>
          <w:p w14:paraId="6B4F7996" w14:textId="77777777" w:rsidR="00D41C60" w:rsidRPr="008E17C8" w:rsidRDefault="00D41C60" w:rsidP="00B06E6D">
            <w:pPr>
              <w:jc w:val="both"/>
              <w:rPr>
                <w:rFonts w:ascii="Times New Roman" w:hAnsi="Times New Roman" w:cs="Times New Roman"/>
                <w:b/>
                <w:sz w:val="20"/>
                <w:szCs w:val="20"/>
              </w:rPr>
            </w:pPr>
          </w:p>
        </w:tc>
      </w:tr>
    </w:tbl>
    <w:p w14:paraId="6C04FDE6" w14:textId="77777777" w:rsidR="00D41C60" w:rsidRPr="008E17C8" w:rsidRDefault="00D41C60" w:rsidP="00D41C60">
      <w:pPr>
        <w:rPr>
          <w:rFonts w:ascii="Times New Roman" w:hAnsi="Times New Roman" w:cs="Times New Roman"/>
        </w:rPr>
      </w:pPr>
    </w:p>
    <w:tbl>
      <w:tblPr>
        <w:tblW w:w="14742" w:type="dxa"/>
        <w:tblCellMar>
          <w:left w:w="70" w:type="dxa"/>
          <w:right w:w="70" w:type="dxa"/>
        </w:tblCellMar>
        <w:tblLook w:val="04A0" w:firstRow="1" w:lastRow="0" w:firstColumn="1" w:lastColumn="0" w:noHBand="0" w:noVBand="1"/>
      </w:tblPr>
      <w:tblGrid>
        <w:gridCol w:w="3280"/>
        <w:gridCol w:w="11462"/>
      </w:tblGrid>
      <w:tr w:rsidR="00D41C60" w:rsidRPr="008E17C8" w14:paraId="7C88C606" w14:textId="77777777" w:rsidTr="00D41C60">
        <w:trPr>
          <w:trHeight w:val="288"/>
        </w:trPr>
        <w:tc>
          <w:tcPr>
            <w:tcW w:w="3280" w:type="dxa"/>
            <w:tcBorders>
              <w:top w:val="nil"/>
              <w:bottom w:val="single" w:sz="4" w:space="0" w:color="auto"/>
            </w:tcBorders>
            <w:shd w:val="clear" w:color="000000" w:fill="FFFFFF"/>
            <w:vAlign w:val="bottom"/>
            <w:hideMark/>
          </w:tcPr>
          <w:p w14:paraId="168D3F1E" w14:textId="77777777" w:rsidR="00D41C60" w:rsidRPr="008E17C8" w:rsidRDefault="00D41C60" w:rsidP="00D41C60">
            <w:pPr>
              <w:jc w:val="center"/>
              <w:rPr>
                <w:rFonts w:ascii="Times New Roman" w:hAnsi="Times New Roman" w:cs="Times New Roman"/>
                <w:b/>
                <w:bCs/>
                <w:sz w:val="22"/>
                <w:szCs w:val="22"/>
              </w:rPr>
            </w:pPr>
            <w:r w:rsidRPr="008E17C8">
              <w:rPr>
                <w:rFonts w:ascii="Times New Roman" w:hAnsi="Times New Roman" w:cs="Times New Roman"/>
                <w:b/>
                <w:bCs/>
                <w:sz w:val="22"/>
                <w:szCs w:val="22"/>
              </w:rPr>
              <w:t>Legenda:</w:t>
            </w:r>
          </w:p>
        </w:tc>
        <w:tc>
          <w:tcPr>
            <w:tcW w:w="11462" w:type="dxa"/>
            <w:tcBorders>
              <w:top w:val="nil"/>
            </w:tcBorders>
            <w:shd w:val="clear" w:color="000000" w:fill="FFFFFF"/>
          </w:tcPr>
          <w:p w14:paraId="43BB1E5E" w14:textId="77777777" w:rsidR="00D41C60" w:rsidRPr="008E17C8" w:rsidRDefault="00D41C60" w:rsidP="00D41C60">
            <w:pPr>
              <w:jc w:val="center"/>
              <w:rPr>
                <w:rFonts w:ascii="Times New Roman" w:hAnsi="Times New Roman" w:cs="Times New Roman"/>
                <w:b/>
                <w:bCs/>
                <w:sz w:val="22"/>
                <w:szCs w:val="22"/>
              </w:rPr>
            </w:pPr>
          </w:p>
        </w:tc>
      </w:tr>
      <w:tr w:rsidR="00D41C60" w:rsidRPr="008E17C8" w14:paraId="2912363A" w14:textId="77777777" w:rsidTr="00D41C60">
        <w:trPr>
          <w:trHeight w:val="300"/>
        </w:trPr>
        <w:tc>
          <w:tcPr>
            <w:tcW w:w="3280" w:type="dxa"/>
            <w:tcBorders>
              <w:top w:val="single" w:sz="4" w:space="0" w:color="auto"/>
              <w:left w:val="single" w:sz="4" w:space="0" w:color="auto"/>
              <w:bottom w:val="single" w:sz="4" w:space="0" w:color="auto"/>
              <w:right w:val="single" w:sz="4" w:space="0" w:color="auto"/>
            </w:tcBorders>
            <w:noWrap/>
            <w:vAlign w:val="bottom"/>
            <w:hideMark/>
          </w:tcPr>
          <w:p w14:paraId="2621D821" w14:textId="77777777" w:rsidR="00D41C60" w:rsidRPr="008E17C8" w:rsidRDefault="00D41C60" w:rsidP="00D41C60">
            <w:pPr>
              <w:rPr>
                <w:rFonts w:ascii="Times New Roman" w:hAnsi="Times New Roman" w:cs="Times New Roman"/>
                <w:sz w:val="22"/>
                <w:szCs w:val="22"/>
              </w:rPr>
            </w:pPr>
            <w:r w:rsidRPr="008E17C8">
              <w:rPr>
                <w:rFonts w:ascii="Times New Roman" w:hAnsi="Times New Roman" w:cs="Times New Roman"/>
                <w:sz w:val="22"/>
                <w:szCs w:val="22"/>
              </w:rPr>
              <w:t> </w:t>
            </w:r>
          </w:p>
        </w:tc>
        <w:tc>
          <w:tcPr>
            <w:tcW w:w="11462" w:type="dxa"/>
            <w:tcBorders>
              <w:left w:val="single" w:sz="4" w:space="0" w:color="auto"/>
            </w:tcBorders>
          </w:tcPr>
          <w:p w14:paraId="7B6D3EE1" w14:textId="77777777" w:rsidR="00D41C60" w:rsidRPr="008E17C8" w:rsidRDefault="00D41C60" w:rsidP="00D41C60">
            <w:pPr>
              <w:rPr>
                <w:rFonts w:ascii="Times New Roman" w:hAnsi="Times New Roman" w:cs="Times New Roman"/>
                <w:szCs w:val="22"/>
              </w:rPr>
            </w:pPr>
            <w:r w:rsidRPr="008E17C8">
              <w:rPr>
                <w:rFonts w:ascii="Times New Roman" w:hAnsi="Times New Roman" w:cs="Times New Roman"/>
                <w:szCs w:val="22"/>
              </w:rPr>
              <w:t>pola, których wypełnianie jest obowiązkowe</w:t>
            </w:r>
          </w:p>
        </w:tc>
      </w:tr>
    </w:tbl>
    <w:p w14:paraId="3AB7058B" w14:textId="77777777" w:rsidR="00D41C60" w:rsidRPr="008E17C8" w:rsidRDefault="00D41C60" w:rsidP="00D41C60">
      <w:pPr>
        <w:rPr>
          <w:rFonts w:ascii="Times New Roman" w:hAnsi="Times New Roman" w:cs="Times New Roman"/>
        </w:rPr>
      </w:pPr>
    </w:p>
    <w:p w14:paraId="1A5C815C" w14:textId="77777777" w:rsidR="00D41C60" w:rsidRPr="008E17C8" w:rsidRDefault="00D41C60" w:rsidP="00D41C60">
      <w:pPr>
        <w:rPr>
          <w:rFonts w:ascii="Times New Roman" w:hAnsi="Times New Roman" w:cs="Times New Roman"/>
          <w:b/>
          <w:color w:val="00B050"/>
          <w:u w:val="single"/>
        </w:rPr>
      </w:pPr>
      <w:r w:rsidRPr="008E17C8">
        <w:rPr>
          <w:rFonts w:ascii="Times New Roman" w:hAnsi="Times New Roman" w:cs="Times New Roman"/>
          <w:b/>
          <w:color w:val="00B050"/>
          <w:u w:val="single"/>
        </w:rPr>
        <w:t>Instrukcja wypełniania</w:t>
      </w:r>
    </w:p>
    <w:p w14:paraId="69DB746C" w14:textId="77777777" w:rsidR="00D41C60" w:rsidRPr="008E17C8" w:rsidRDefault="00D41C60" w:rsidP="00D41C60">
      <w:pPr>
        <w:rPr>
          <w:rFonts w:ascii="Times New Roman" w:hAnsi="Times New Roman" w:cs="Times New Roman"/>
          <w:b/>
          <w:color w:val="00B050"/>
        </w:rPr>
      </w:pPr>
    </w:p>
    <w:p w14:paraId="230E3072" w14:textId="77777777" w:rsidR="00D41C60" w:rsidRPr="008E17C8" w:rsidRDefault="00D41C60" w:rsidP="00D41C60">
      <w:pPr>
        <w:rPr>
          <w:rFonts w:ascii="Times New Roman" w:hAnsi="Times New Roman" w:cs="Times New Roman"/>
          <w:b/>
          <w:color w:val="00B050"/>
          <w:u w:val="single"/>
        </w:rPr>
      </w:pPr>
      <w:r w:rsidRPr="008E17C8">
        <w:rPr>
          <w:rFonts w:ascii="Times New Roman" w:hAnsi="Times New Roman" w:cs="Times New Roman"/>
          <w:b/>
          <w:color w:val="00B050"/>
          <w:u w:val="single"/>
        </w:rPr>
        <w:t>Kolumny:</w:t>
      </w:r>
    </w:p>
    <w:p w14:paraId="72655DC0" w14:textId="77777777" w:rsidR="00D41C60" w:rsidRPr="008E17C8" w:rsidRDefault="00D41C60" w:rsidP="00D41C60">
      <w:pPr>
        <w:rPr>
          <w:rFonts w:ascii="Times New Roman" w:hAnsi="Times New Roman" w:cs="Times New Roman"/>
          <w:b/>
          <w:color w:val="00B050"/>
        </w:rPr>
      </w:pPr>
    </w:p>
    <w:p w14:paraId="35CA94DF" w14:textId="77777777" w:rsidR="00D41C60" w:rsidRPr="008E17C8" w:rsidRDefault="00D41C60" w:rsidP="00D41C60">
      <w:pPr>
        <w:jc w:val="both"/>
        <w:rPr>
          <w:rFonts w:ascii="Times New Roman" w:hAnsi="Times New Roman" w:cs="Times New Roman"/>
          <w:color w:val="00B050"/>
        </w:rPr>
      </w:pPr>
      <w:r w:rsidRPr="008E17C8">
        <w:rPr>
          <w:rFonts w:ascii="Times New Roman" w:hAnsi="Times New Roman" w:cs="Times New Roman"/>
          <w:b/>
          <w:color w:val="00B050"/>
        </w:rPr>
        <w:t xml:space="preserve">Wartość w momencie początkowego ujęcia: </w:t>
      </w:r>
      <w:r w:rsidRPr="008E17C8">
        <w:rPr>
          <w:rFonts w:ascii="Times New Roman" w:hAnsi="Times New Roman" w:cs="Times New Roman"/>
          <w:color w:val="00B050"/>
        </w:rPr>
        <w:t>w tej kolumnie należy podać wartość bilansową brutto zabezpieczenia uzyskanego przez przejęcie w momencie początkowego ujęcia w bilansie instytucji sprawozdającej.</w:t>
      </w:r>
    </w:p>
    <w:p w14:paraId="37BE0E3F" w14:textId="77777777" w:rsidR="00D41C60" w:rsidRPr="008E17C8" w:rsidRDefault="00D41C60" w:rsidP="00D41C60">
      <w:pPr>
        <w:jc w:val="both"/>
        <w:rPr>
          <w:rFonts w:ascii="Times New Roman" w:hAnsi="Times New Roman" w:cs="Times New Roman"/>
          <w:color w:val="00B050"/>
        </w:rPr>
      </w:pPr>
    </w:p>
    <w:p w14:paraId="11355B8F" w14:textId="77777777" w:rsidR="00D41C60" w:rsidRPr="008E17C8" w:rsidRDefault="00D41C60" w:rsidP="00D41C60">
      <w:pPr>
        <w:jc w:val="both"/>
        <w:rPr>
          <w:rFonts w:ascii="Times New Roman" w:hAnsi="Times New Roman" w:cs="Times New Roman"/>
          <w:color w:val="00B050"/>
        </w:rPr>
      </w:pPr>
      <w:r w:rsidRPr="008E17C8">
        <w:rPr>
          <w:rFonts w:ascii="Times New Roman" w:hAnsi="Times New Roman" w:cs="Times New Roman"/>
          <w:b/>
          <w:color w:val="00B050"/>
        </w:rPr>
        <w:t>Skumulowane ujemne zmiany</w:t>
      </w:r>
      <w:r w:rsidRPr="008E17C8">
        <w:rPr>
          <w:rFonts w:ascii="Times New Roman" w:hAnsi="Times New Roman" w:cs="Times New Roman"/>
          <w:color w:val="00B050"/>
        </w:rPr>
        <w:t>: skumulowana utrata wartości lub skumulowane ujemne zmiany wartości podawanej w momencie początkowego ujęcia zabezpieczenia uzyskanego przez przejęcie, zgodnie z powyższym opisem. Należy zwrócić uwagę, że należy też uwzględnić skumulowane ujemne zmiany z tytułu amortyzacji w przypadku rzeczowych aktywów trwałych i nieruchomości inwestycyjnych, jeśli ma to zastosowanie.</w:t>
      </w:r>
    </w:p>
    <w:p w14:paraId="47063A2A" w14:textId="77777777" w:rsidR="00D41C60" w:rsidRPr="008E17C8" w:rsidRDefault="00D41C60" w:rsidP="00D41C60">
      <w:pPr>
        <w:jc w:val="both"/>
        <w:rPr>
          <w:rFonts w:ascii="Times New Roman" w:hAnsi="Times New Roman" w:cs="Times New Roman"/>
          <w:color w:val="00B050"/>
        </w:rPr>
      </w:pPr>
    </w:p>
    <w:p w14:paraId="54F24675" w14:textId="77777777" w:rsidR="00D41C60" w:rsidRPr="008E17C8" w:rsidRDefault="00D41C60" w:rsidP="00D41C60">
      <w:pPr>
        <w:jc w:val="both"/>
        <w:rPr>
          <w:rFonts w:ascii="Times New Roman" w:hAnsi="Times New Roman" w:cs="Times New Roman"/>
          <w:b/>
          <w:color w:val="00B050"/>
          <w:u w:val="single"/>
        </w:rPr>
      </w:pPr>
      <w:r w:rsidRPr="008E17C8">
        <w:rPr>
          <w:rFonts w:ascii="Times New Roman" w:hAnsi="Times New Roman" w:cs="Times New Roman"/>
          <w:b/>
          <w:color w:val="00B050"/>
          <w:u w:val="single"/>
        </w:rPr>
        <w:t>Wiersze:</w:t>
      </w:r>
    </w:p>
    <w:p w14:paraId="6D85D13D" w14:textId="77777777" w:rsidR="00D41C60" w:rsidRPr="008E17C8" w:rsidRDefault="00D41C60" w:rsidP="00D41C60">
      <w:pPr>
        <w:jc w:val="both"/>
        <w:rPr>
          <w:rFonts w:ascii="Times New Roman" w:hAnsi="Times New Roman" w:cs="Times New Roman"/>
          <w:b/>
          <w:color w:val="00B050"/>
        </w:rPr>
      </w:pPr>
    </w:p>
    <w:p w14:paraId="41B91017" w14:textId="77777777" w:rsidR="00D41C60" w:rsidRPr="008E17C8" w:rsidRDefault="00D41C60" w:rsidP="00D41C60">
      <w:pPr>
        <w:jc w:val="both"/>
        <w:rPr>
          <w:rFonts w:ascii="Times New Roman" w:hAnsi="Times New Roman" w:cs="Times New Roman"/>
          <w:color w:val="00B050"/>
        </w:rPr>
      </w:pPr>
      <w:r w:rsidRPr="008E17C8">
        <w:rPr>
          <w:rFonts w:ascii="Times New Roman" w:hAnsi="Times New Roman" w:cs="Times New Roman"/>
          <w:b/>
          <w:color w:val="00B050"/>
        </w:rPr>
        <w:lastRenderedPageBreak/>
        <w:t xml:space="preserve">Zabezpieczenie uzyskane przez przejęcie, sklasyfikowane jako rzeczowe aktywa trwałe: </w:t>
      </w:r>
      <w:r w:rsidRPr="008E17C8">
        <w:rPr>
          <w:rFonts w:ascii="Times New Roman" w:hAnsi="Times New Roman" w:cs="Times New Roman"/>
          <w:color w:val="00B050"/>
        </w:rPr>
        <w:t>posiadane zabezpieczenie uzyskane przez przejęcie, które nadal jest ujmowane w bilansie w sprawozdawczym dniu odniesienia i jest sklasyfikowane jako rzeczowe aktywa trwałe, powinno być zgłoszone w tym wierszu.</w:t>
      </w:r>
    </w:p>
    <w:p w14:paraId="73AB10CD" w14:textId="77777777" w:rsidR="00D41C60" w:rsidRPr="008E17C8" w:rsidRDefault="00D41C60" w:rsidP="00D41C60">
      <w:pPr>
        <w:jc w:val="both"/>
        <w:rPr>
          <w:rFonts w:ascii="Times New Roman" w:hAnsi="Times New Roman" w:cs="Times New Roman"/>
          <w:color w:val="00B050"/>
        </w:rPr>
      </w:pPr>
    </w:p>
    <w:p w14:paraId="04B08F7F" w14:textId="77777777" w:rsidR="00D41C60" w:rsidRPr="008E17C8" w:rsidRDefault="00D41C60" w:rsidP="00D41C60">
      <w:pPr>
        <w:jc w:val="both"/>
        <w:rPr>
          <w:rFonts w:ascii="Times New Roman" w:hAnsi="Times New Roman" w:cs="Times New Roman"/>
          <w:color w:val="00B050"/>
        </w:rPr>
      </w:pPr>
      <w:r w:rsidRPr="008E17C8">
        <w:rPr>
          <w:rFonts w:ascii="Times New Roman" w:hAnsi="Times New Roman" w:cs="Times New Roman"/>
          <w:b/>
          <w:color w:val="00B050"/>
        </w:rPr>
        <w:t>Zabezpieczenie uzyskane przez przejęcie, różne od aktywów sklasyfikowanych jako rzeczowe aktywa trwałe</w:t>
      </w:r>
      <w:r w:rsidRPr="008E17C8">
        <w:rPr>
          <w:rFonts w:ascii="Times New Roman" w:hAnsi="Times New Roman" w:cs="Times New Roman"/>
          <w:color w:val="00B050"/>
        </w:rPr>
        <w:t>: posiadane zabezpieczenie uzyskane przez przejęcie, które nadal jest ujmowane w bilansie w sprawozdawczym dniu odniesienia i nie jest sklasyfikowane jako rzeczowe aktywa trwałe, jest automatycznie zgłaszane w tym wierszu. Przy obliczaniu łącznego stanu bierze się pod uwagę stan początkowy (od końca ostatniego roku obrachunkowego) oraz wpływy i odpływy w okresie obowiązującym dla ujawniania informacji (od końca ostatniego roku obrachunkowego). Zabezpieczenie uzyskane przez przejęcie (różne od aktywów sklasyfikowanych jako rzeczowe aktywa trwałe) zgłasza się w odpowiednich wierszach według rodzaju zabezpieczenia.</w:t>
      </w:r>
    </w:p>
    <w:p w14:paraId="047DBAE8" w14:textId="77777777" w:rsidR="00D41C60" w:rsidRPr="008E17C8" w:rsidRDefault="00D41C60" w:rsidP="00D41C60">
      <w:pPr>
        <w:jc w:val="both"/>
        <w:rPr>
          <w:rFonts w:ascii="Times New Roman" w:hAnsi="Times New Roman" w:cs="Times New Roman"/>
          <w:color w:val="00B050"/>
        </w:rPr>
      </w:pPr>
    </w:p>
    <w:p w14:paraId="6677F97F" w14:textId="77777777" w:rsidR="00D41C60" w:rsidRPr="008E17C8" w:rsidRDefault="00D41C60" w:rsidP="00D41C60">
      <w:pPr>
        <w:jc w:val="both"/>
        <w:rPr>
          <w:rFonts w:ascii="Times New Roman" w:hAnsi="Times New Roman" w:cs="Times New Roman"/>
          <w:color w:val="00B050"/>
        </w:rPr>
      </w:pPr>
      <w:r w:rsidRPr="008E17C8">
        <w:rPr>
          <w:rFonts w:ascii="Times New Roman" w:hAnsi="Times New Roman" w:cs="Times New Roman"/>
          <w:b/>
          <w:color w:val="00B050"/>
        </w:rPr>
        <w:t>Nieruchomości mieszkalne</w:t>
      </w:r>
      <w:r w:rsidRPr="008E17C8">
        <w:rPr>
          <w:rFonts w:ascii="Times New Roman" w:hAnsi="Times New Roman" w:cs="Times New Roman"/>
          <w:color w:val="00B050"/>
        </w:rPr>
        <w:t>: zabezpieczenie uzyskane przez przejęcie nieruchomości mieszkalnych (np. domów, mieszkań itp.) albo nieruchomości, które można w ten sposób wykorzystywać w przyszłości (np. nieukończone nieruchomości mieszkalne itp.).</w:t>
      </w:r>
    </w:p>
    <w:p w14:paraId="23AB6537" w14:textId="77777777" w:rsidR="00D41C60" w:rsidRPr="008E17C8" w:rsidRDefault="00D41C60" w:rsidP="00D41C60">
      <w:pPr>
        <w:jc w:val="both"/>
        <w:rPr>
          <w:rFonts w:ascii="Times New Roman" w:hAnsi="Times New Roman" w:cs="Times New Roman"/>
          <w:color w:val="00B050"/>
        </w:rPr>
      </w:pPr>
    </w:p>
    <w:p w14:paraId="0156ADED" w14:textId="77777777" w:rsidR="00D41C60" w:rsidRPr="008E17C8" w:rsidRDefault="00D41C60" w:rsidP="00D41C60">
      <w:pPr>
        <w:jc w:val="both"/>
        <w:rPr>
          <w:rFonts w:ascii="Times New Roman" w:hAnsi="Times New Roman" w:cs="Times New Roman"/>
          <w:color w:val="00B050"/>
        </w:rPr>
      </w:pPr>
      <w:r w:rsidRPr="008E17C8">
        <w:rPr>
          <w:rFonts w:ascii="Times New Roman" w:hAnsi="Times New Roman" w:cs="Times New Roman"/>
          <w:b/>
          <w:color w:val="00B050"/>
        </w:rPr>
        <w:t>Nieruchomości komercyjne</w:t>
      </w:r>
      <w:r w:rsidRPr="008E17C8">
        <w:rPr>
          <w:rFonts w:ascii="Times New Roman" w:hAnsi="Times New Roman" w:cs="Times New Roman"/>
          <w:color w:val="00B050"/>
        </w:rPr>
        <w:t>: zabezpieczenie uzyskane przez przejęcie nieruchomości komercyjnej albo przemysłowej, którą można wykorzystywać w celu biznesowym lub inwestycyjnym, lub dowolnej nieruchomości niebędącej nieruchomością mieszkalną zgodnie z powyższym opisem. Grunty (zarówno inne niż rolne, jak i rolne) też należy ujmować w tej kategorii.</w:t>
      </w:r>
    </w:p>
    <w:p w14:paraId="755B0063" w14:textId="77777777" w:rsidR="00D41C60" w:rsidRPr="008E17C8" w:rsidRDefault="00D41C60" w:rsidP="00D41C60">
      <w:pPr>
        <w:jc w:val="both"/>
        <w:rPr>
          <w:rFonts w:ascii="Times New Roman" w:hAnsi="Times New Roman" w:cs="Times New Roman"/>
          <w:color w:val="00B050"/>
        </w:rPr>
      </w:pPr>
    </w:p>
    <w:p w14:paraId="3F2AC503" w14:textId="77777777" w:rsidR="00D41C60" w:rsidRPr="008E17C8" w:rsidRDefault="00D41C60" w:rsidP="00D41C60">
      <w:pPr>
        <w:jc w:val="both"/>
        <w:rPr>
          <w:rFonts w:ascii="Times New Roman" w:hAnsi="Times New Roman" w:cs="Times New Roman"/>
          <w:color w:val="00B050"/>
        </w:rPr>
      </w:pPr>
      <w:r w:rsidRPr="008E17C8">
        <w:rPr>
          <w:rFonts w:ascii="Times New Roman" w:hAnsi="Times New Roman" w:cs="Times New Roman"/>
          <w:b/>
          <w:color w:val="00B050"/>
        </w:rPr>
        <w:t>Ruchomości:</w:t>
      </w:r>
      <w:r w:rsidRPr="008E17C8">
        <w:rPr>
          <w:rFonts w:ascii="Times New Roman" w:hAnsi="Times New Roman" w:cs="Times New Roman"/>
          <w:color w:val="00B050"/>
        </w:rPr>
        <w:t xml:space="preserve"> zabezpieczenia uzyskane przez przejęcie składników majątku innych niż nieruchomości należy zgłaszać w tym wierszu.</w:t>
      </w:r>
    </w:p>
    <w:p w14:paraId="66D4CA72" w14:textId="77777777" w:rsidR="00D41C60" w:rsidRPr="008E17C8" w:rsidRDefault="00D41C60" w:rsidP="00D41C60">
      <w:pPr>
        <w:jc w:val="both"/>
        <w:rPr>
          <w:rFonts w:ascii="Times New Roman" w:hAnsi="Times New Roman" w:cs="Times New Roman"/>
          <w:color w:val="00B050"/>
        </w:rPr>
      </w:pPr>
    </w:p>
    <w:p w14:paraId="0C6766C3" w14:textId="77777777" w:rsidR="00D41C60" w:rsidRPr="00C60B92" w:rsidRDefault="00D41C60" w:rsidP="00D41C60">
      <w:pPr>
        <w:jc w:val="both"/>
        <w:rPr>
          <w:rFonts w:ascii="Times New Roman" w:hAnsi="Times New Roman" w:cs="Times New Roman"/>
          <w:color w:val="00B050"/>
        </w:rPr>
      </w:pPr>
      <w:r w:rsidRPr="008E17C8">
        <w:rPr>
          <w:rFonts w:ascii="Times New Roman" w:hAnsi="Times New Roman" w:cs="Times New Roman"/>
          <w:b/>
          <w:color w:val="00B050"/>
        </w:rPr>
        <w:t>Kapitał własny i instrumenty dłużne</w:t>
      </w:r>
      <w:r w:rsidRPr="008E17C8">
        <w:rPr>
          <w:rFonts w:ascii="Times New Roman" w:hAnsi="Times New Roman" w:cs="Times New Roman"/>
          <w:color w:val="00B050"/>
        </w:rPr>
        <w:t>: zabezpieczenie uzyskane przez przejęcie kapitału własnego lub instrumentów dłużnych należy zgłaszać w tym wierszu.</w:t>
      </w:r>
    </w:p>
    <w:p w14:paraId="75DDF72A" w14:textId="77777777" w:rsidR="00D41C60" w:rsidRPr="00C60B92" w:rsidRDefault="00D41C60" w:rsidP="00D41C60">
      <w:pPr>
        <w:jc w:val="both"/>
        <w:rPr>
          <w:rFonts w:ascii="Times New Roman" w:hAnsi="Times New Roman" w:cs="Times New Roman"/>
          <w:color w:val="00B050"/>
        </w:rPr>
      </w:pPr>
    </w:p>
    <w:p w14:paraId="05ADC242" w14:textId="35289790" w:rsidR="00D41C60" w:rsidRPr="00C60B92" w:rsidRDefault="00D41C60" w:rsidP="00D41C60">
      <w:pPr>
        <w:pStyle w:val="Tekstpodstawowywcity"/>
        <w:ind w:left="0"/>
        <w:rPr>
          <w:rFonts w:ascii="Times New Roman" w:hAnsi="Times New Roman" w:cs="Times New Roman"/>
        </w:rPr>
      </w:pPr>
    </w:p>
    <w:sectPr w:rsidR="00D41C60" w:rsidRPr="00C60B92" w:rsidSect="00D41C60">
      <w:headerReference w:type="default" r:id="rId15"/>
      <w:footerReference w:type="default" r:id="rId16"/>
      <w:pgSz w:w="16838" w:h="11906" w:orient="landscape"/>
      <w:pgMar w:top="1134" w:right="1134" w:bottom="1134" w:left="1134" w:header="284" w:footer="6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A6F84" w14:textId="77777777" w:rsidR="00144D38" w:rsidRDefault="00144D38">
      <w:r>
        <w:separator/>
      </w:r>
    </w:p>
  </w:endnote>
  <w:endnote w:type="continuationSeparator" w:id="0">
    <w:p w14:paraId="1AC24F51" w14:textId="77777777" w:rsidR="00144D38" w:rsidRDefault="0014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unga">
    <w:altName w:val="Courier New"/>
    <w:panose1 w:val="00000400000000000000"/>
    <w:charset w:val="01"/>
    <w:family w:val="roman"/>
    <w:notTrueType/>
    <w:pitch w:val="variable"/>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E6DE4E" w14:textId="77777777" w:rsidR="00D41C60" w:rsidRDefault="00D41C6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6EB53D8" w14:textId="77777777" w:rsidR="00D41C60" w:rsidRDefault="00D41C60">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358249" w14:textId="77777777" w:rsidR="00D41C60" w:rsidRDefault="00D41C6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742E7">
      <w:rPr>
        <w:rStyle w:val="Numerstrony"/>
        <w:noProof/>
      </w:rPr>
      <w:t>13</w:t>
    </w:r>
    <w:r>
      <w:rPr>
        <w:rStyle w:val="Numerstrony"/>
      </w:rPr>
      <w:fldChar w:fldCharType="end"/>
    </w:r>
  </w:p>
  <w:p w14:paraId="4CD3D980" w14:textId="77777777" w:rsidR="00D41C60" w:rsidRDefault="00D41C60">
    <w:pPr>
      <w:pStyle w:val="Stopka"/>
      <w:pBdr>
        <w:top w:val="single" w:sz="4" w:space="1" w:color="auto"/>
      </w:pBdr>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784D5D" w14:textId="77777777" w:rsidR="00D41C60" w:rsidRDefault="00D41C60">
    <w:pPr>
      <w:pStyle w:val="Stopka"/>
      <w:tabs>
        <w:tab w:val="clear" w:pos="4536"/>
        <w:tab w:val="center" w:pos="9000"/>
      </w:tabs>
      <w:ind w:left="4254" w:hanging="4254"/>
    </w:pPr>
  </w:p>
  <w:p w14:paraId="1B3CD4D6" w14:textId="77777777" w:rsidR="00D41C60" w:rsidRPr="00B87A6F" w:rsidRDefault="00D41C60" w:rsidP="00D41C60">
    <w:pPr>
      <w:pStyle w:val="Stopka"/>
      <w:rPr>
        <w:rFonts w:ascii="Tahoma" w:hAnsi="Tahoma"/>
        <w:i/>
        <w:iCs/>
        <w:color w:val="333333"/>
        <w:sz w:val="18"/>
        <w:szCs w:val="18"/>
      </w:rPr>
    </w:pPr>
    <w:r>
      <w:rPr>
        <w:rFonts w:ascii="Tahoma" w:hAnsi="Tahoma"/>
        <w:i/>
        <w:iCs/>
        <w:color w:val="333333"/>
        <w:sz w:val="16"/>
      </w:rPr>
      <w:t xml:space="preserve">                                                                               </w:t>
    </w:r>
    <w:r>
      <w:rPr>
        <w:rFonts w:ascii="Tahoma" w:hAnsi="Tahoma"/>
        <w:i/>
        <w:iCs/>
        <w:color w:val="333333"/>
        <w:sz w:val="16"/>
      </w:rPr>
      <w:cr/>
    </w:r>
  </w:p>
  <w:p w14:paraId="07BDC660" w14:textId="77777777" w:rsidR="00D41C60" w:rsidRDefault="00D41C60" w:rsidP="00D41C60">
    <w:pPr>
      <w:pStyle w:val="Stopka"/>
      <w:ind w:left="4254" w:hanging="4254"/>
      <w:rPr>
        <w:rFonts w:ascii="Tahoma" w:hAnsi="Tahoma"/>
        <w:sz w:val="20"/>
      </w:rPr>
    </w:pPr>
    <w:r w:rsidRPr="00B87A6F">
      <w:rPr>
        <w:rFonts w:ascii="Tahoma" w:hAnsi="Tahoma"/>
        <w:i/>
        <w:iCs/>
        <w:color w:val="333333"/>
        <w:sz w:val="18"/>
        <w:szCs w:val="18"/>
      </w:rPr>
      <w:tab/>
    </w:r>
    <w:r>
      <w:rPr>
        <w:rFonts w:ascii="Tahoma" w:hAnsi="Tahoma"/>
        <w:i/>
        <w:iCs/>
        <w:color w:val="333333"/>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A45CBC" w14:textId="77777777" w:rsidR="00144D38" w:rsidRDefault="00144D38">
      <w:r>
        <w:separator/>
      </w:r>
    </w:p>
  </w:footnote>
  <w:footnote w:type="continuationSeparator" w:id="0">
    <w:p w14:paraId="3BD653F0" w14:textId="77777777" w:rsidR="00144D38" w:rsidRDefault="00144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47936E" w14:textId="77777777" w:rsidR="00D41C60" w:rsidRDefault="00D41C60">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915D08" w14:textId="77777777" w:rsidR="00D41C60" w:rsidRDefault="00D41C60">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124E7" w14:textId="77777777" w:rsidR="00D41C60" w:rsidRDefault="00D41C6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D7972"/>
    <w:multiLevelType w:val="hybridMultilevel"/>
    <w:tmpl w:val="8696BB6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9CE5F26"/>
    <w:multiLevelType w:val="hybridMultilevel"/>
    <w:tmpl w:val="1AA0B3AC"/>
    <w:lvl w:ilvl="0" w:tplc="2534A2F4">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AE77BE8"/>
    <w:multiLevelType w:val="singleLevel"/>
    <w:tmpl w:val="0415000F"/>
    <w:lvl w:ilvl="0">
      <w:start w:val="1"/>
      <w:numFmt w:val="decimal"/>
      <w:lvlText w:val="%1."/>
      <w:lvlJc w:val="left"/>
      <w:pPr>
        <w:tabs>
          <w:tab w:val="num" w:pos="2202"/>
        </w:tabs>
        <w:ind w:left="2202" w:hanging="360"/>
      </w:pPr>
    </w:lvl>
  </w:abstractNum>
  <w:abstractNum w:abstractNumId="3">
    <w:nsid w:val="0B957E97"/>
    <w:multiLevelType w:val="hybridMultilevel"/>
    <w:tmpl w:val="8F6A370A"/>
    <w:lvl w:ilvl="0" w:tplc="605AE7BE">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F2A67D8"/>
    <w:multiLevelType w:val="hybridMultilevel"/>
    <w:tmpl w:val="D72AE2A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
    <w:nsid w:val="0FE03F17"/>
    <w:multiLevelType w:val="hybridMultilevel"/>
    <w:tmpl w:val="2B269BD0"/>
    <w:name w:val="WW8Num119222222222222222234"/>
    <w:lvl w:ilvl="0" w:tplc="0C8252F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90401C"/>
    <w:multiLevelType w:val="hybridMultilevel"/>
    <w:tmpl w:val="E3A4CE0A"/>
    <w:lvl w:ilvl="0" w:tplc="0A80547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6C24A84"/>
    <w:multiLevelType w:val="hybridMultilevel"/>
    <w:tmpl w:val="D8C21874"/>
    <w:lvl w:ilvl="0" w:tplc="8752E898">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634AFC"/>
    <w:multiLevelType w:val="hybridMultilevel"/>
    <w:tmpl w:val="3F202ADC"/>
    <w:lvl w:ilvl="0" w:tplc="1B68A8AC">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9">
    <w:nsid w:val="1A8C32CE"/>
    <w:multiLevelType w:val="hybridMultilevel"/>
    <w:tmpl w:val="1AAA3976"/>
    <w:lvl w:ilvl="0" w:tplc="4BB498FE">
      <w:start w:val="1"/>
      <w:numFmt w:val="decimal"/>
      <w:lvlText w:val="%1."/>
      <w:lvlJc w:val="left"/>
      <w:pPr>
        <w:tabs>
          <w:tab w:val="num" w:pos="720"/>
        </w:tabs>
        <w:ind w:left="720" w:hanging="360"/>
      </w:pPr>
      <w:rPr>
        <w:rFonts w:hint="default"/>
        <w:color w:val="000000"/>
      </w:rPr>
    </w:lvl>
    <w:lvl w:ilvl="1" w:tplc="0415000F">
      <w:start w:val="1"/>
      <w:numFmt w:val="decimal"/>
      <w:lvlText w:val="%2."/>
      <w:lvlJc w:val="left"/>
      <w:pPr>
        <w:tabs>
          <w:tab w:val="num" w:pos="1440"/>
        </w:tabs>
        <w:ind w:left="1440" w:hanging="360"/>
      </w:pPr>
      <w:rPr>
        <w:rFonts w:hint="default"/>
        <w:color w:val="000000"/>
      </w:rPr>
    </w:lvl>
    <w:lvl w:ilvl="2" w:tplc="EE7CBC40">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21980CF4"/>
    <w:multiLevelType w:val="singleLevel"/>
    <w:tmpl w:val="0415000F"/>
    <w:lvl w:ilvl="0">
      <w:start w:val="1"/>
      <w:numFmt w:val="decimal"/>
      <w:lvlText w:val="%1."/>
      <w:lvlJc w:val="left"/>
      <w:pPr>
        <w:tabs>
          <w:tab w:val="num" w:pos="360"/>
        </w:tabs>
        <w:ind w:left="360" w:hanging="360"/>
      </w:pPr>
    </w:lvl>
  </w:abstractNum>
  <w:abstractNum w:abstractNumId="11">
    <w:nsid w:val="247A2301"/>
    <w:multiLevelType w:val="hybridMultilevel"/>
    <w:tmpl w:val="FD84627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5352679"/>
    <w:multiLevelType w:val="hybridMultilevel"/>
    <w:tmpl w:val="3E387270"/>
    <w:lvl w:ilvl="0" w:tplc="FC7487C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9391779"/>
    <w:multiLevelType w:val="hybridMultilevel"/>
    <w:tmpl w:val="3710CA2C"/>
    <w:lvl w:ilvl="0" w:tplc="D8F4C5F0">
      <w:start w:val="1"/>
      <w:numFmt w:val="decimal"/>
      <w:lvlText w:val="%1."/>
      <w:lvlJc w:val="left"/>
      <w:pPr>
        <w:tabs>
          <w:tab w:val="num" w:pos="360"/>
        </w:tabs>
        <w:ind w:left="360" w:hanging="360"/>
      </w:pPr>
      <w:rPr>
        <w:rFonts w:hint="default"/>
      </w:rPr>
    </w:lvl>
    <w:lvl w:ilvl="1" w:tplc="5340368C">
      <w:start w:val="1"/>
      <w:numFmt w:val="decimal"/>
      <w:lvlText w:val="%2)"/>
      <w:lvlJc w:val="left"/>
      <w:pPr>
        <w:tabs>
          <w:tab w:val="num" w:pos="390"/>
        </w:tabs>
        <w:ind w:left="390" w:hanging="390"/>
      </w:pPr>
      <w:rPr>
        <w:rFonts w:hint="default"/>
      </w:rPr>
    </w:lvl>
    <w:lvl w:ilvl="2" w:tplc="3F1804B8">
      <w:start w:val="1"/>
      <w:numFmt w:val="none"/>
      <w:lvlText w:val="1)"/>
      <w:lvlJc w:val="left"/>
      <w:pPr>
        <w:tabs>
          <w:tab w:val="num" w:pos="1260"/>
        </w:tabs>
        <w:ind w:left="1260" w:hanging="360"/>
      </w:pPr>
      <w:rPr>
        <w:rFonts w:hint="default"/>
      </w:rPr>
    </w:lvl>
    <w:lvl w:ilvl="3" w:tplc="0415000F" w:tentative="1">
      <w:start w:val="1"/>
      <w:numFmt w:val="decimal"/>
      <w:lvlText w:val="%4."/>
      <w:lvlJc w:val="left"/>
      <w:pPr>
        <w:tabs>
          <w:tab w:val="num" w:pos="1800"/>
        </w:tabs>
        <w:ind w:left="1800" w:hanging="360"/>
      </w:pPr>
    </w:lvl>
    <w:lvl w:ilvl="4" w:tplc="04150019" w:tentative="1">
      <w:start w:val="1"/>
      <w:numFmt w:val="lowerLetter"/>
      <w:lvlText w:val="%5."/>
      <w:lvlJc w:val="left"/>
      <w:pPr>
        <w:tabs>
          <w:tab w:val="num" w:pos="2520"/>
        </w:tabs>
        <w:ind w:left="2520" w:hanging="360"/>
      </w:pPr>
    </w:lvl>
    <w:lvl w:ilvl="5" w:tplc="0415001B" w:tentative="1">
      <w:start w:val="1"/>
      <w:numFmt w:val="lowerRoman"/>
      <w:lvlText w:val="%6."/>
      <w:lvlJc w:val="right"/>
      <w:pPr>
        <w:tabs>
          <w:tab w:val="num" w:pos="3240"/>
        </w:tabs>
        <w:ind w:left="3240" w:hanging="180"/>
      </w:pPr>
    </w:lvl>
    <w:lvl w:ilvl="6" w:tplc="0415000F" w:tentative="1">
      <w:start w:val="1"/>
      <w:numFmt w:val="decimal"/>
      <w:lvlText w:val="%7."/>
      <w:lvlJc w:val="left"/>
      <w:pPr>
        <w:tabs>
          <w:tab w:val="num" w:pos="3960"/>
        </w:tabs>
        <w:ind w:left="3960" w:hanging="360"/>
      </w:pPr>
    </w:lvl>
    <w:lvl w:ilvl="7" w:tplc="04150019" w:tentative="1">
      <w:start w:val="1"/>
      <w:numFmt w:val="lowerLetter"/>
      <w:lvlText w:val="%8."/>
      <w:lvlJc w:val="left"/>
      <w:pPr>
        <w:tabs>
          <w:tab w:val="num" w:pos="4680"/>
        </w:tabs>
        <w:ind w:left="4680" w:hanging="360"/>
      </w:pPr>
    </w:lvl>
    <w:lvl w:ilvl="8" w:tplc="0415001B" w:tentative="1">
      <w:start w:val="1"/>
      <w:numFmt w:val="lowerRoman"/>
      <w:lvlText w:val="%9."/>
      <w:lvlJc w:val="right"/>
      <w:pPr>
        <w:tabs>
          <w:tab w:val="num" w:pos="5400"/>
        </w:tabs>
        <w:ind w:left="5400" w:hanging="180"/>
      </w:pPr>
    </w:lvl>
  </w:abstractNum>
  <w:abstractNum w:abstractNumId="14">
    <w:nsid w:val="2FB61D8E"/>
    <w:multiLevelType w:val="hybridMultilevel"/>
    <w:tmpl w:val="2B54792A"/>
    <w:lvl w:ilvl="0" w:tplc="938E5A36">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30612916"/>
    <w:multiLevelType w:val="hybridMultilevel"/>
    <w:tmpl w:val="E4E85948"/>
    <w:lvl w:ilvl="0" w:tplc="938E5A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323316AE"/>
    <w:multiLevelType w:val="hybridMultilevel"/>
    <w:tmpl w:val="880E268C"/>
    <w:lvl w:ilvl="0" w:tplc="9B42D0A8">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2534452"/>
    <w:multiLevelType w:val="hybridMultilevel"/>
    <w:tmpl w:val="7F2E78B2"/>
    <w:lvl w:ilvl="0" w:tplc="04150017">
      <w:start w:val="1"/>
      <w:numFmt w:val="lowerLetter"/>
      <w:lvlText w:val="%1)"/>
      <w:lvlJc w:val="left"/>
      <w:pPr>
        <w:ind w:left="1788" w:hanging="360"/>
      </w:pPr>
    </w:lvl>
    <w:lvl w:ilvl="1" w:tplc="04150019" w:tentative="1">
      <w:start w:val="1"/>
      <w:numFmt w:val="lowerLetter"/>
      <w:lvlText w:val="%2."/>
      <w:lvlJc w:val="left"/>
      <w:pPr>
        <w:ind w:left="2508" w:hanging="360"/>
      </w:pPr>
    </w:lvl>
    <w:lvl w:ilvl="2" w:tplc="0415001B" w:tentative="1">
      <w:start w:val="1"/>
      <w:numFmt w:val="lowerRoman"/>
      <w:lvlText w:val="%3."/>
      <w:lvlJc w:val="right"/>
      <w:pPr>
        <w:ind w:left="3228" w:hanging="180"/>
      </w:pPr>
    </w:lvl>
    <w:lvl w:ilvl="3" w:tplc="0415000F" w:tentative="1">
      <w:start w:val="1"/>
      <w:numFmt w:val="decimal"/>
      <w:lvlText w:val="%4."/>
      <w:lvlJc w:val="left"/>
      <w:pPr>
        <w:ind w:left="3948" w:hanging="360"/>
      </w:pPr>
    </w:lvl>
    <w:lvl w:ilvl="4" w:tplc="04150019" w:tentative="1">
      <w:start w:val="1"/>
      <w:numFmt w:val="lowerLetter"/>
      <w:lvlText w:val="%5."/>
      <w:lvlJc w:val="left"/>
      <w:pPr>
        <w:ind w:left="4668" w:hanging="360"/>
      </w:pPr>
    </w:lvl>
    <w:lvl w:ilvl="5" w:tplc="0415001B" w:tentative="1">
      <w:start w:val="1"/>
      <w:numFmt w:val="lowerRoman"/>
      <w:lvlText w:val="%6."/>
      <w:lvlJc w:val="right"/>
      <w:pPr>
        <w:ind w:left="5388" w:hanging="180"/>
      </w:pPr>
    </w:lvl>
    <w:lvl w:ilvl="6" w:tplc="0415000F" w:tentative="1">
      <w:start w:val="1"/>
      <w:numFmt w:val="decimal"/>
      <w:lvlText w:val="%7."/>
      <w:lvlJc w:val="left"/>
      <w:pPr>
        <w:ind w:left="6108" w:hanging="360"/>
      </w:pPr>
    </w:lvl>
    <w:lvl w:ilvl="7" w:tplc="04150019" w:tentative="1">
      <w:start w:val="1"/>
      <w:numFmt w:val="lowerLetter"/>
      <w:lvlText w:val="%8."/>
      <w:lvlJc w:val="left"/>
      <w:pPr>
        <w:ind w:left="6828" w:hanging="360"/>
      </w:pPr>
    </w:lvl>
    <w:lvl w:ilvl="8" w:tplc="0415001B" w:tentative="1">
      <w:start w:val="1"/>
      <w:numFmt w:val="lowerRoman"/>
      <w:lvlText w:val="%9."/>
      <w:lvlJc w:val="right"/>
      <w:pPr>
        <w:ind w:left="7548" w:hanging="180"/>
      </w:pPr>
    </w:lvl>
  </w:abstractNum>
  <w:abstractNum w:abstractNumId="18">
    <w:nsid w:val="33295E27"/>
    <w:multiLevelType w:val="hybridMultilevel"/>
    <w:tmpl w:val="72522FE6"/>
    <w:lvl w:ilvl="0" w:tplc="0415000F">
      <w:start w:val="1"/>
      <w:numFmt w:val="decimal"/>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9">
    <w:nsid w:val="366B52F5"/>
    <w:multiLevelType w:val="hybridMultilevel"/>
    <w:tmpl w:val="776E4800"/>
    <w:lvl w:ilvl="0" w:tplc="029C58A0">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91D3A6E"/>
    <w:multiLevelType w:val="hybridMultilevel"/>
    <w:tmpl w:val="774C423C"/>
    <w:lvl w:ilvl="0" w:tplc="5AA0343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394F4025"/>
    <w:multiLevelType w:val="hybridMultilevel"/>
    <w:tmpl w:val="EA2C60A4"/>
    <w:lvl w:ilvl="0" w:tplc="B59EE91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3A905944"/>
    <w:multiLevelType w:val="hybridMultilevel"/>
    <w:tmpl w:val="D562D2C2"/>
    <w:lvl w:ilvl="0" w:tplc="D3CA8582">
      <w:start w:val="1"/>
      <w:numFmt w:val="decimal"/>
      <w:lvlText w:val="%1."/>
      <w:lvlJc w:val="left"/>
      <w:pPr>
        <w:ind w:left="360" w:hanging="360"/>
      </w:pPr>
      <w:rPr>
        <w:position w:val="0"/>
      </w:rPr>
    </w:lvl>
    <w:lvl w:ilvl="1" w:tplc="CD34F7BC">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3AB3277B"/>
    <w:multiLevelType w:val="hybridMultilevel"/>
    <w:tmpl w:val="C172E0E8"/>
    <w:lvl w:ilvl="0" w:tplc="45F40DF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nsid w:val="3D8F5CBB"/>
    <w:multiLevelType w:val="hybridMultilevel"/>
    <w:tmpl w:val="93E41160"/>
    <w:lvl w:ilvl="0" w:tplc="8752E898">
      <w:start w:val="1"/>
      <w:numFmt w:val="lowerLetter"/>
      <w:lvlText w:val="%1)"/>
      <w:lvlJc w:val="left"/>
      <w:pPr>
        <w:ind w:left="1776"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nsid w:val="3DF816D6"/>
    <w:multiLevelType w:val="hybridMultilevel"/>
    <w:tmpl w:val="7932CF20"/>
    <w:lvl w:ilvl="0" w:tplc="2534A2F4">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03E5B48"/>
    <w:multiLevelType w:val="singleLevel"/>
    <w:tmpl w:val="5AC8071E"/>
    <w:lvl w:ilvl="0">
      <w:start w:val="1"/>
      <w:numFmt w:val="upperRoman"/>
      <w:lvlText w:val="%1"/>
      <w:lvlJc w:val="left"/>
      <w:pPr>
        <w:tabs>
          <w:tab w:val="num" w:pos="720"/>
        </w:tabs>
        <w:ind w:left="360" w:hanging="360"/>
      </w:pPr>
    </w:lvl>
  </w:abstractNum>
  <w:abstractNum w:abstractNumId="27">
    <w:nsid w:val="4A8C27C9"/>
    <w:multiLevelType w:val="hybridMultilevel"/>
    <w:tmpl w:val="FDA421D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50EA6D91"/>
    <w:multiLevelType w:val="multilevel"/>
    <w:tmpl w:val="E0B04070"/>
    <w:lvl w:ilvl="0">
      <w:start w:val="1"/>
      <w:numFmt w:val="upperRoman"/>
      <w:pStyle w:val="Nagwek7"/>
      <w:lvlText w:val="%1."/>
      <w:lvlJc w:val="left"/>
      <w:pPr>
        <w:tabs>
          <w:tab w:val="num" w:pos="720"/>
        </w:tabs>
        <w:ind w:left="454" w:hanging="454"/>
      </w:pPr>
      <w:rPr>
        <w:rFonts w:hint="default"/>
      </w:rPr>
    </w:lvl>
    <w:lvl w:ilvl="1">
      <w:start w:val="1"/>
      <w:numFmt w:val="decimal"/>
      <w:lvlText w:val="%2."/>
      <w:lvlJc w:val="left"/>
      <w:pPr>
        <w:tabs>
          <w:tab w:val="num" w:pos="454"/>
        </w:tabs>
        <w:ind w:left="454" w:hanging="454"/>
      </w:pPr>
      <w:rPr>
        <w:rFonts w:hint="default"/>
      </w:rPr>
    </w:lvl>
    <w:lvl w:ilvl="2">
      <w:start w:val="1"/>
      <w:numFmt w:val="decimal"/>
      <w:lvlText w:val="%3)"/>
      <w:lvlJc w:val="left"/>
      <w:pPr>
        <w:tabs>
          <w:tab w:val="num" w:pos="907"/>
        </w:tabs>
        <w:ind w:left="907" w:hanging="453"/>
      </w:pPr>
      <w:rPr>
        <w:rFonts w:hint="default"/>
      </w:rPr>
    </w:lvl>
    <w:lvl w:ilvl="3">
      <w:start w:val="1"/>
      <w:numFmt w:val="bullet"/>
      <w:lvlText w:val=""/>
      <w:lvlJc w:val="left"/>
      <w:pPr>
        <w:tabs>
          <w:tab w:val="num" w:pos="1701"/>
        </w:tabs>
        <w:ind w:left="1701" w:hanging="454"/>
      </w:pPr>
      <w:rPr>
        <w:rFonts w:ascii="Symbol" w:hAnsi="Symbol" w:hint="default"/>
      </w:rPr>
    </w:lvl>
    <w:lvl w:ilvl="4">
      <w:start w:val="1"/>
      <w:numFmt w:val="bullet"/>
      <w:lvlText w:val=""/>
      <w:lvlJc w:val="left"/>
      <w:pPr>
        <w:tabs>
          <w:tab w:val="num" w:pos="2155"/>
        </w:tabs>
        <w:ind w:left="2155" w:hanging="45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9">
    <w:nsid w:val="58741937"/>
    <w:multiLevelType w:val="hybridMultilevel"/>
    <w:tmpl w:val="405433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8E2313E"/>
    <w:multiLevelType w:val="hybridMultilevel"/>
    <w:tmpl w:val="BD028A48"/>
    <w:name w:val="WW8Num11922222222222222223"/>
    <w:lvl w:ilvl="0" w:tplc="B99C3884">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F186710"/>
    <w:multiLevelType w:val="hybridMultilevel"/>
    <w:tmpl w:val="361ACD78"/>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2">
    <w:nsid w:val="600729A3"/>
    <w:multiLevelType w:val="hybridMultilevel"/>
    <w:tmpl w:val="E996AC4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66521877"/>
    <w:multiLevelType w:val="hybridMultilevel"/>
    <w:tmpl w:val="7D1C36D4"/>
    <w:lvl w:ilvl="0" w:tplc="8752E898">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6AD3BE5"/>
    <w:multiLevelType w:val="hybridMultilevel"/>
    <w:tmpl w:val="E28245C8"/>
    <w:lvl w:ilvl="0" w:tplc="D040A224">
      <w:start w:val="1"/>
      <w:numFmt w:val="decimal"/>
      <w:lvlText w:val="%1."/>
      <w:lvlJc w:val="left"/>
      <w:pPr>
        <w:tabs>
          <w:tab w:val="num" w:pos="720"/>
        </w:tabs>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94E13EB"/>
    <w:multiLevelType w:val="hybridMultilevel"/>
    <w:tmpl w:val="C826D622"/>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95B25A0"/>
    <w:multiLevelType w:val="hybridMultilevel"/>
    <w:tmpl w:val="730C2B1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6BC06388"/>
    <w:multiLevelType w:val="hybridMultilevel"/>
    <w:tmpl w:val="3982C27A"/>
    <w:lvl w:ilvl="0" w:tplc="0415000F">
      <w:start w:val="1"/>
      <w:numFmt w:val="decimal"/>
      <w:lvlText w:val="%1."/>
      <w:lvlJc w:val="left"/>
      <w:pPr>
        <w:ind w:left="1428"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6E0759C1"/>
    <w:multiLevelType w:val="hybridMultilevel"/>
    <w:tmpl w:val="316E98C2"/>
    <w:lvl w:ilvl="0" w:tplc="8752E898">
      <w:start w:val="1"/>
      <w:numFmt w:val="lowerLetter"/>
      <w:lvlText w:val="%1)"/>
      <w:lvlJc w:val="left"/>
      <w:pPr>
        <w:ind w:left="142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70CD26D6"/>
    <w:multiLevelType w:val="hybridMultilevel"/>
    <w:tmpl w:val="2AFED8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72EF78E9"/>
    <w:multiLevelType w:val="hybridMultilevel"/>
    <w:tmpl w:val="18B430C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72F61FE3"/>
    <w:multiLevelType w:val="hybridMultilevel"/>
    <w:tmpl w:val="0A12D4DC"/>
    <w:name w:val="WW8Num1192222"/>
    <w:lvl w:ilvl="0" w:tplc="FFFFFFFF">
      <w:start w:val="1"/>
      <w:numFmt w:val="decimal"/>
      <w:lvlText w:val="%1."/>
      <w:lvlJc w:val="left"/>
      <w:pPr>
        <w:tabs>
          <w:tab w:val="num" w:pos="1800"/>
        </w:tabs>
        <w:ind w:left="1800" w:hanging="360"/>
      </w:pPr>
      <w:rPr>
        <w:rFonts w:hint="default"/>
      </w:rPr>
    </w:lvl>
    <w:lvl w:ilvl="1" w:tplc="FFFFFFFF" w:tentative="1">
      <w:start w:val="1"/>
      <w:numFmt w:val="lowerLetter"/>
      <w:lvlText w:val="%2."/>
      <w:lvlJc w:val="left"/>
      <w:pPr>
        <w:tabs>
          <w:tab w:val="num" w:pos="2880"/>
        </w:tabs>
        <w:ind w:left="2880" w:hanging="360"/>
      </w:pPr>
    </w:lvl>
    <w:lvl w:ilvl="2" w:tplc="FFFFFFFF" w:tentative="1">
      <w:start w:val="1"/>
      <w:numFmt w:val="lowerRoman"/>
      <w:lvlText w:val="%3."/>
      <w:lvlJc w:val="right"/>
      <w:pPr>
        <w:tabs>
          <w:tab w:val="num" w:pos="3600"/>
        </w:tabs>
        <w:ind w:left="3600" w:hanging="180"/>
      </w:pPr>
    </w:lvl>
    <w:lvl w:ilvl="3" w:tplc="FFFFFFFF" w:tentative="1">
      <w:start w:val="1"/>
      <w:numFmt w:val="decimal"/>
      <w:lvlText w:val="%4."/>
      <w:lvlJc w:val="left"/>
      <w:pPr>
        <w:tabs>
          <w:tab w:val="num" w:pos="4320"/>
        </w:tabs>
        <w:ind w:left="4320" w:hanging="360"/>
      </w:pPr>
    </w:lvl>
    <w:lvl w:ilvl="4" w:tplc="FFFFFFFF" w:tentative="1">
      <w:start w:val="1"/>
      <w:numFmt w:val="lowerLetter"/>
      <w:lvlText w:val="%5."/>
      <w:lvlJc w:val="left"/>
      <w:pPr>
        <w:tabs>
          <w:tab w:val="num" w:pos="5040"/>
        </w:tabs>
        <w:ind w:left="5040" w:hanging="360"/>
      </w:pPr>
    </w:lvl>
    <w:lvl w:ilvl="5" w:tplc="FFFFFFFF" w:tentative="1">
      <w:start w:val="1"/>
      <w:numFmt w:val="lowerRoman"/>
      <w:lvlText w:val="%6."/>
      <w:lvlJc w:val="right"/>
      <w:pPr>
        <w:tabs>
          <w:tab w:val="num" w:pos="5760"/>
        </w:tabs>
        <w:ind w:left="5760" w:hanging="180"/>
      </w:pPr>
    </w:lvl>
    <w:lvl w:ilvl="6" w:tplc="FFFFFFFF" w:tentative="1">
      <w:start w:val="1"/>
      <w:numFmt w:val="decimal"/>
      <w:lvlText w:val="%7."/>
      <w:lvlJc w:val="left"/>
      <w:pPr>
        <w:tabs>
          <w:tab w:val="num" w:pos="6480"/>
        </w:tabs>
        <w:ind w:left="6480" w:hanging="360"/>
      </w:pPr>
    </w:lvl>
    <w:lvl w:ilvl="7" w:tplc="FFFFFFFF" w:tentative="1">
      <w:start w:val="1"/>
      <w:numFmt w:val="lowerLetter"/>
      <w:lvlText w:val="%8."/>
      <w:lvlJc w:val="left"/>
      <w:pPr>
        <w:tabs>
          <w:tab w:val="num" w:pos="7200"/>
        </w:tabs>
        <w:ind w:left="7200" w:hanging="360"/>
      </w:pPr>
    </w:lvl>
    <w:lvl w:ilvl="8" w:tplc="FFFFFFFF" w:tentative="1">
      <w:start w:val="1"/>
      <w:numFmt w:val="lowerRoman"/>
      <w:lvlText w:val="%9."/>
      <w:lvlJc w:val="right"/>
      <w:pPr>
        <w:tabs>
          <w:tab w:val="num" w:pos="7920"/>
        </w:tabs>
        <w:ind w:left="7920" w:hanging="180"/>
      </w:pPr>
    </w:lvl>
  </w:abstractNum>
  <w:abstractNum w:abstractNumId="42">
    <w:nsid w:val="744956CC"/>
    <w:multiLevelType w:val="multilevel"/>
    <w:tmpl w:val="58F8B0FC"/>
    <w:lvl w:ilvl="0">
      <w:start w:val="1"/>
      <w:numFmt w:val="upperRoman"/>
      <w:pStyle w:val="Nagwek2"/>
      <w:lvlText w:val="%1."/>
      <w:lvlJc w:val="left"/>
      <w:pPr>
        <w:tabs>
          <w:tab w:val="num" w:pos="680"/>
        </w:tabs>
        <w:ind w:left="680" w:hanging="680"/>
      </w:pPr>
      <w:rPr>
        <w:rFonts w:hint="default"/>
      </w:rPr>
    </w:lvl>
    <w:lvl w:ilvl="1">
      <w:start w:val="1"/>
      <w:numFmt w:val="decimal"/>
      <w:lvlText w:val="%2."/>
      <w:lvlJc w:val="left"/>
      <w:pPr>
        <w:tabs>
          <w:tab w:val="num" w:pos="680"/>
        </w:tabs>
        <w:ind w:left="680" w:hanging="680"/>
      </w:pPr>
      <w:rPr>
        <w:rFonts w:hint="default"/>
      </w:rPr>
    </w:lvl>
    <w:lvl w:ilvl="2">
      <w:start w:val="1"/>
      <w:numFmt w:val="decimal"/>
      <w:lvlText w:val="%3)"/>
      <w:lvlJc w:val="left"/>
      <w:pPr>
        <w:tabs>
          <w:tab w:val="num" w:pos="1134"/>
        </w:tabs>
        <w:ind w:left="1134" w:hanging="454"/>
      </w:pPr>
      <w:rPr>
        <w:rFonts w:hint="default"/>
      </w:rPr>
    </w:lvl>
    <w:lvl w:ilvl="3">
      <w:start w:val="1"/>
      <w:numFmt w:val="lowerLetter"/>
      <w:lvlText w:val="%4)"/>
      <w:lvlJc w:val="left"/>
      <w:pPr>
        <w:tabs>
          <w:tab w:val="num" w:pos="1588"/>
        </w:tabs>
        <w:ind w:left="1588" w:hanging="454"/>
      </w:pPr>
      <w:rPr>
        <w:rFonts w:hint="default"/>
      </w:rPr>
    </w:lvl>
    <w:lvl w:ilvl="4">
      <w:start w:val="1"/>
      <w:numFmt w:val="bullet"/>
      <w:lvlText w:val=""/>
      <w:lvlJc w:val="left"/>
      <w:pPr>
        <w:tabs>
          <w:tab w:val="num" w:pos="2061"/>
        </w:tabs>
        <w:ind w:left="2041" w:hanging="340"/>
      </w:pPr>
      <w:rPr>
        <w:rFonts w:ascii="Symbol" w:hAnsi="Symbol"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79A21378"/>
    <w:multiLevelType w:val="hybridMultilevel"/>
    <w:tmpl w:val="27E6F76A"/>
    <w:lvl w:ilvl="0" w:tplc="FF167BF2">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2"/>
  </w:num>
  <w:num w:numId="2">
    <w:abstractNumId w:val="28"/>
  </w:num>
  <w:num w:numId="3">
    <w:abstractNumId w:val="9"/>
  </w:num>
  <w:num w:numId="4">
    <w:abstractNumId w:val="43"/>
  </w:num>
  <w:num w:numId="5">
    <w:abstractNumId w:val="16"/>
  </w:num>
  <w:num w:numId="6">
    <w:abstractNumId w:val="10"/>
  </w:num>
  <w:num w:numId="7">
    <w:abstractNumId w:val="36"/>
  </w:num>
  <w:num w:numId="8">
    <w:abstractNumId w:val="40"/>
  </w:num>
  <w:num w:numId="9">
    <w:abstractNumId w:val="32"/>
  </w:num>
  <w:num w:numId="10">
    <w:abstractNumId w:val="27"/>
  </w:num>
  <w:num w:numId="11">
    <w:abstractNumId w:val="18"/>
  </w:num>
  <w:num w:numId="12">
    <w:abstractNumId w:val="35"/>
  </w:num>
  <w:num w:numId="13">
    <w:abstractNumId w:val="2"/>
  </w:num>
  <w:num w:numId="14">
    <w:abstractNumId w:val="21"/>
  </w:num>
  <w:num w:numId="15">
    <w:abstractNumId w:val="26"/>
  </w:num>
  <w:num w:numId="16">
    <w:abstractNumId w:val="23"/>
  </w:num>
  <w:num w:numId="17">
    <w:abstractNumId w:val="34"/>
  </w:num>
  <w:num w:numId="18">
    <w:abstractNumId w:val="11"/>
  </w:num>
  <w:num w:numId="19">
    <w:abstractNumId w:val="31"/>
  </w:num>
  <w:num w:numId="20">
    <w:abstractNumId w:val="33"/>
  </w:num>
  <w:num w:numId="21">
    <w:abstractNumId w:val="3"/>
  </w:num>
  <w:num w:numId="22">
    <w:abstractNumId w:val="8"/>
  </w:num>
  <w:num w:numId="23">
    <w:abstractNumId w:val="14"/>
  </w:num>
  <w:num w:numId="24">
    <w:abstractNumId w:val="15"/>
  </w:num>
  <w:num w:numId="25">
    <w:abstractNumId w:val="6"/>
  </w:num>
  <w:num w:numId="26">
    <w:abstractNumId w:val="1"/>
  </w:num>
  <w:num w:numId="27">
    <w:abstractNumId w:val="25"/>
  </w:num>
  <w:num w:numId="28">
    <w:abstractNumId w:val="0"/>
  </w:num>
  <w:num w:numId="29">
    <w:abstractNumId w:val="19"/>
  </w:num>
  <w:num w:numId="30">
    <w:abstractNumId w:val="12"/>
  </w:num>
  <w:num w:numId="31">
    <w:abstractNumId w:val="41"/>
  </w:num>
  <w:num w:numId="32">
    <w:abstractNumId w:val="4"/>
  </w:num>
  <w:num w:numId="33">
    <w:abstractNumId w:val="17"/>
  </w:num>
  <w:num w:numId="34">
    <w:abstractNumId w:val="24"/>
  </w:num>
  <w:num w:numId="35">
    <w:abstractNumId w:val="38"/>
  </w:num>
  <w:num w:numId="36">
    <w:abstractNumId w:val="7"/>
  </w:num>
  <w:num w:numId="37">
    <w:abstractNumId w:val="37"/>
  </w:num>
  <w:num w:numId="38">
    <w:abstractNumId w:val="22"/>
  </w:num>
  <w:num w:numId="39">
    <w:abstractNumId w:val="20"/>
  </w:num>
  <w:num w:numId="40">
    <w:abstractNumId w:val="13"/>
  </w:num>
  <w:num w:numId="41">
    <w:abstractNumId w:val="39"/>
  </w:num>
  <w:num w:numId="42">
    <w:abstractNumId w:val="2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defaultTabStop w:val="708"/>
  <w:hyphenationZone w:val="425"/>
  <w:drawingGridHorizontalSpacing w:val="181"/>
  <w:drawingGridVerticalSpacing w:val="181"/>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244"/>
    <w:rsid w:val="000031FC"/>
    <w:rsid w:val="00011E2F"/>
    <w:rsid w:val="00012956"/>
    <w:rsid w:val="00016732"/>
    <w:rsid w:val="00027E14"/>
    <w:rsid w:val="00041BA5"/>
    <w:rsid w:val="00044DEA"/>
    <w:rsid w:val="00047E38"/>
    <w:rsid w:val="0005085F"/>
    <w:rsid w:val="000565CE"/>
    <w:rsid w:val="000809C9"/>
    <w:rsid w:val="00090BB0"/>
    <w:rsid w:val="000A3B94"/>
    <w:rsid w:val="000A6F66"/>
    <w:rsid w:val="000B6EF5"/>
    <w:rsid w:val="000C26BB"/>
    <w:rsid w:val="000D3998"/>
    <w:rsid w:val="000D6A93"/>
    <w:rsid w:val="001130BC"/>
    <w:rsid w:val="0012667D"/>
    <w:rsid w:val="0012709E"/>
    <w:rsid w:val="001403B6"/>
    <w:rsid w:val="00144D38"/>
    <w:rsid w:val="00145A08"/>
    <w:rsid w:val="00181005"/>
    <w:rsid w:val="00191077"/>
    <w:rsid w:val="00197F3A"/>
    <w:rsid w:val="001B7D86"/>
    <w:rsid w:val="001C1202"/>
    <w:rsid w:val="001C3A43"/>
    <w:rsid w:val="001C47EA"/>
    <w:rsid w:val="001C4913"/>
    <w:rsid w:val="001C6AB5"/>
    <w:rsid w:val="001D2C53"/>
    <w:rsid w:val="001F0D3B"/>
    <w:rsid w:val="001F4366"/>
    <w:rsid w:val="00203AAC"/>
    <w:rsid w:val="002042B2"/>
    <w:rsid w:val="00210990"/>
    <w:rsid w:val="00255589"/>
    <w:rsid w:val="002635E8"/>
    <w:rsid w:val="00270975"/>
    <w:rsid w:val="00284BC2"/>
    <w:rsid w:val="00287523"/>
    <w:rsid w:val="00287C21"/>
    <w:rsid w:val="00296469"/>
    <w:rsid w:val="002A537E"/>
    <w:rsid w:val="002A7DA5"/>
    <w:rsid w:val="002B4492"/>
    <w:rsid w:val="002B4C26"/>
    <w:rsid w:val="002C1C7A"/>
    <w:rsid w:val="002C6DD2"/>
    <w:rsid w:val="002D21F6"/>
    <w:rsid w:val="002D368C"/>
    <w:rsid w:val="002D69F1"/>
    <w:rsid w:val="0030254E"/>
    <w:rsid w:val="00302F09"/>
    <w:rsid w:val="003154C9"/>
    <w:rsid w:val="00317544"/>
    <w:rsid w:val="00331D60"/>
    <w:rsid w:val="00351E63"/>
    <w:rsid w:val="00351F3B"/>
    <w:rsid w:val="00365C17"/>
    <w:rsid w:val="00376382"/>
    <w:rsid w:val="0038190D"/>
    <w:rsid w:val="00386F0B"/>
    <w:rsid w:val="00387F68"/>
    <w:rsid w:val="00391333"/>
    <w:rsid w:val="003D635E"/>
    <w:rsid w:val="003D71A4"/>
    <w:rsid w:val="003E6120"/>
    <w:rsid w:val="003F5D44"/>
    <w:rsid w:val="004035E1"/>
    <w:rsid w:val="00407F19"/>
    <w:rsid w:val="00410B01"/>
    <w:rsid w:val="00442B23"/>
    <w:rsid w:val="004505B2"/>
    <w:rsid w:val="00465DB7"/>
    <w:rsid w:val="00482450"/>
    <w:rsid w:val="004867F9"/>
    <w:rsid w:val="004926A9"/>
    <w:rsid w:val="004956B5"/>
    <w:rsid w:val="004964A7"/>
    <w:rsid w:val="00496919"/>
    <w:rsid w:val="004A0275"/>
    <w:rsid w:val="004B1B67"/>
    <w:rsid w:val="004B1D13"/>
    <w:rsid w:val="004C1AA8"/>
    <w:rsid w:val="004E3AE5"/>
    <w:rsid w:val="004E51D0"/>
    <w:rsid w:val="004F0297"/>
    <w:rsid w:val="0050073E"/>
    <w:rsid w:val="005044C5"/>
    <w:rsid w:val="00520248"/>
    <w:rsid w:val="0052096D"/>
    <w:rsid w:val="0053163C"/>
    <w:rsid w:val="0054084C"/>
    <w:rsid w:val="00552C9E"/>
    <w:rsid w:val="00566002"/>
    <w:rsid w:val="00570F5B"/>
    <w:rsid w:val="005962DC"/>
    <w:rsid w:val="00597389"/>
    <w:rsid w:val="005A37A7"/>
    <w:rsid w:val="005A7812"/>
    <w:rsid w:val="005B531B"/>
    <w:rsid w:val="005D14C9"/>
    <w:rsid w:val="005E262D"/>
    <w:rsid w:val="005F711A"/>
    <w:rsid w:val="00620B62"/>
    <w:rsid w:val="006327E9"/>
    <w:rsid w:val="00646200"/>
    <w:rsid w:val="00672D4E"/>
    <w:rsid w:val="00672E6F"/>
    <w:rsid w:val="0067592A"/>
    <w:rsid w:val="006B4684"/>
    <w:rsid w:val="006B5A5D"/>
    <w:rsid w:val="006B5DB9"/>
    <w:rsid w:val="006C0BDA"/>
    <w:rsid w:val="007003F3"/>
    <w:rsid w:val="00711686"/>
    <w:rsid w:val="00715F82"/>
    <w:rsid w:val="007177EB"/>
    <w:rsid w:val="007179AB"/>
    <w:rsid w:val="0072416B"/>
    <w:rsid w:val="00724F3E"/>
    <w:rsid w:val="00727545"/>
    <w:rsid w:val="00727799"/>
    <w:rsid w:val="007309F4"/>
    <w:rsid w:val="007313FF"/>
    <w:rsid w:val="0075386B"/>
    <w:rsid w:val="007600BD"/>
    <w:rsid w:val="00773A37"/>
    <w:rsid w:val="007742E7"/>
    <w:rsid w:val="0077745E"/>
    <w:rsid w:val="0078137C"/>
    <w:rsid w:val="00781500"/>
    <w:rsid w:val="00784B50"/>
    <w:rsid w:val="007868BF"/>
    <w:rsid w:val="007A29A5"/>
    <w:rsid w:val="007A38B7"/>
    <w:rsid w:val="007A4701"/>
    <w:rsid w:val="007B1315"/>
    <w:rsid w:val="007B53E3"/>
    <w:rsid w:val="007B73EC"/>
    <w:rsid w:val="007C10D2"/>
    <w:rsid w:val="007D0FDC"/>
    <w:rsid w:val="007D43E8"/>
    <w:rsid w:val="007E393E"/>
    <w:rsid w:val="007E742D"/>
    <w:rsid w:val="007F4E15"/>
    <w:rsid w:val="007F6334"/>
    <w:rsid w:val="007F7E31"/>
    <w:rsid w:val="008046C8"/>
    <w:rsid w:val="00805B63"/>
    <w:rsid w:val="008063E5"/>
    <w:rsid w:val="008113A2"/>
    <w:rsid w:val="0081335F"/>
    <w:rsid w:val="008218EA"/>
    <w:rsid w:val="008219F9"/>
    <w:rsid w:val="008278F7"/>
    <w:rsid w:val="00834ACE"/>
    <w:rsid w:val="00843F0F"/>
    <w:rsid w:val="008457F1"/>
    <w:rsid w:val="0085052D"/>
    <w:rsid w:val="00851966"/>
    <w:rsid w:val="00852037"/>
    <w:rsid w:val="008530E8"/>
    <w:rsid w:val="0086358C"/>
    <w:rsid w:val="008722AC"/>
    <w:rsid w:val="00872EC5"/>
    <w:rsid w:val="00883A39"/>
    <w:rsid w:val="008C6AFF"/>
    <w:rsid w:val="008E17C8"/>
    <w:rsid w:val="008E52B9"/>
    <w:rsid w:val="008F25CE"/>
    <w:rsid w:val="008F69D8"/>
    <w:rsid w:val="00902B8C"/>
    <w:rsid w:val="00904773"/>
    <w:rsid w:val="00907F8C"/>
    <w:rsid w:val="0091045E"/>
    <w:rsid w:val="00913826"/>
    <w:rsid w:val="00921B40"/>
    <w:rsid w:val="00933058"/>
    <w:rsid w:val="00945019"/>
    <w:rsid w:val="009472F1"/>
    <w:rsid w:val="009641F9"/>
    <w:rsid w:val="00970CA8"/>
    <w:rsid w:val="00990DEB"/>
    <w:rsid w:val="009A1E70"/>
    <w:rsid w:val="009B72E7"/>
    <w:rsid w:val="009C698B"/>
    <w:rsid w:val="009C7F3B"/>
    <w:rsid w:val="009D190A"/>
    <w:rsid w:val="009F3866"/>
    <w:rsid w:val="00A03FB2"/>
    <w:rsid w:val="00A05F1B"/>
    <w:rsid w:val="00A13764"/>
    <w:rsid w:val="00A31F36"/>
    <w:rsid w:val="00A340EE"/>
    <w:rsid w:val="00A43D83"/>
    <w:rsid w:val="00A51511"/>
    <w:rsid w:val="00A517CA"/>
    <w:rsid w:val="00A53304"/>
    <w:rsid w:val="00A55058"/>
    <w:rsid w:val="00A6472C"/>
    <w:rsid w:val="00A77A86"/>
    <w:rsid w:val="00A81F4D"/>
    <w:rsid w:val="00A9693F"/>
    <w:rsid w:val="00AA2193"/>
    <w:rsid w:val="00AA635B"/>
    <w:rsid w:val="00AB0340"/>
    <w:rsid w:val="00AD20AD"/>
    <w:rsid w:val="00AD5FDC"/>
    <w:rsid w:val="00AF26BE"/>
    <w:rsid w:val="00B05E7D"/>
    <w:rsid w:val="00B06E6D"/>
    <w:rsid w:val="00B1471C"/>
    <w:rsid w:val="00B31126"/>
    <w:rsid w:val="00B329A6"/>
    <w:rsid w:val="00B51ACC"/>
    <w:rsid w:val="00B665D0"/>
    <w:rsid w:val="00B72692"/>
    <w:rsid w:val="00B73AAB"/>
    <w:rsid w:val="00B76CB6"/>
    <w:rsid w:val="00B92FDF"/>
    <w:rsid w:val="00B94305"/>
    <w:rsid w:val="00BA2F02"/>
    <w:rsid w:val="00BA736F"/>
    <w:rsid w:val="00BC6244"/>
    <w:rsid w:val="00BD1D6F"/>
    <w:rsid w:val="00BD2A94"/>
    <w:rsid w:val="00BE5623"/>
    <w:rsid w:val="00C108BF"/>
    <w:rsid w:val="00C253D6"/>
    <w:rsid w:val="00C32C13"/>
    <w:rsid w:val="00C3771C"/>
    <w:rsid w:val="00C40AC2"/>
    <w:rsid w:val="00C476AB"/>
    <w:rsid w:val="00C5111C"/>
    <w:rsid w:val="00C60B92"/>
    <w:rsid w:val="00C70069"/>
    <w:rsid w:val="00C747D9"/>
    <w:rsid w:val="00C91556"/>
    <w:rsid w:val="00C93833"/>
    <w:rsid w:val="00C955DE"/>
    <w:rsid w:val="00C97886"/>
    <w:rsid w:val="00CA3C44"/>
    <w:rsid w:val="00CB3430"/>
    <w:rsid w:val="00CE284C"/>
    <w:rsid w:val="00CE3BBD"/>
    <w:rsid w:val="00CE499E"/>
    <w:rsid w:val="00CF0E17"/>
    <w:rsid w:val="00D04D47"/>
    <w:rsid w:val="00D10551"/>
    <w:rsid w:val="00D15DD3"/>
    <w:rsid w:val="00D23D18"/>
    <w:rsid w:val="00D31A95"/>
    <w:rsid w:val="00D41C60"/>
    <w:rsid w:val="00D4795E"/>
    <w:rsid w:val="00D55F67"/>
    <w:rsid w:val="00D647F2"/>
    <w:rsid w:val="00D661A7"/>
    <w:rsid w:val="00D66B02"/>
    <w:rsid w:val="00D924D8"/>
    <w:rsid w:val="00D97785"/>
    <w:rsid w:val="00DD4908"/>
    <w:rsid w:val="00DF126C"/>
    <w:rsid w:val="00DF57C8"/>
    <w:rsid w:val="00E16D0A"/>
    <w:rsid w:val="00E22361"/>
    <w:rsid w:val="00E237E1"/>
    <w:rsid w:val="00E30CDD"/>
    <w:rsid w:val="00E467BD"/>
    <w:rsid w:val="00E504B5"/>
    <w:rsid w:val="00E645BF"/>
    <w:rsid w:val="00E66886"/>
    <w:rsid w:val="00E724C7"/>
    <w:rsid w:val="00E76EE1"/>
    <w:rsid w:val="00E8369A"/>
    <w:rsid w:val="00EC3B10"/>
    <w:rsid w:val="00EC45E8"/>
    <w:rsid w:val="00ED4527"/>
    <w:rsid w:val="00EF0E4F"/>
    <w:rsid w:val="00EF2212"/>
    <w:rsid w:val="00EF23FA"/>
    <w:rsid w:val="00EF2621"/>
    <w:rsid w:val="00F11694"/>
    <w:rsid w:val="00F15133"/>
    <w:rsid w:val="00F166D6"/>
    <w:rsid w:val="00F247CD"/>
    <w:rsid w:val="00F308BC"/>
    <w:rsid w:val="00F40616"/>
    <w:rsid w:val="00F42729"/>
    <w:rsid w:val="00F4767B"/>
    <w:rsid w:val="00F54FB7"/>
    <w:rsid w:val="00F67401"/>
    <w:rsid w:val="00F81611"/>
    <w:rsid w:val="00FB61F7"/>
    <w:rsid w:val="00FE7114"/>
    <w:rsid w:val="00FF4AF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4E8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Tunga" w:hAnsi="Tunga" w:cs="Tahoma"/>
      <w:sz w:val="24"/>
      <w:szCs w:val="24"/>
    </w:rPr>
  </w:style>
  <w:style w:type="paragraph" w:styleId="Nagwek1">
    <w:name w:val="heading 1"/>
    <w:basedOn w:val="Normalny"/>
    <w:next w:val="Normalny"/>
    <w:link w:val="Nagwek1Znak"/>
    <w:qFormat/>
    <w:pPr>
      <w:keepNext/>
      <w:jc w:val="center"/>
      <w:outlineLvl w:val="0"/>
    </w:pPr>
    <w:rPr>
      <w:rFonts w:cs="Times New Roman"/>
      <w:b/>
      <w:bCs/>
      <w:sz w:val="20"/>
      <w:szCs w:val="20"/>
    </w:rPr>
  </w:style>
  <w:style w:type="paragraph" w:styleId="Nagwek2">
    <w:name w:val="heading 2"/>
    <w:basedOn w:val="Normalny"/>
    <w:next w:val="Normalny"/>
    <w:link w:val="Nagwek2Znak"/>
    <w:uiPriority w:val="9"/>
    <w:qFormat/>
    <w:pPr>
      <w:keepNext/>
      <w:numPr>
        <w:numId w:val="1"/>
      </w:numPr>
      <w:jc w:val="both"/>
      <w:outlineLvl w:val="1"/>
    </w:pPr>
    <w:rPr>
      <w:sz w:val="32"/>
      <w:szCs w:val="32"/>
    </w:rPr>
  </w:style>
  <w:style w:type="paragraph" w:styleId="Nagwek3">
    <w:name w:val="heading 3"/>
    <w:basedOn w:val="Normalny"/>
    <w:next w:val="Normalny"/>
    <w:qFormat/>
    <w:pPr>
      <w:keepNext/>
      <w:spacing w:line="360" w:lineRule="auto"/>
      <w:ind w:left="680"/>
      <w:jc w:val="both"/>
      <w:outlineLvl w:val="2"/>
    </w:pPr>
    <w:rPr>
      <w:u w:val="single"/>
    </w:rPr>
  </w:style>
  <w:style w:type="paragraph" w:styleId="Nagwek4">
    <w:name w:val="heading 4"/>
    <w:basedOn w:val="Normalny"/>
    <w:next w:val="Normalny"/>
    <w:link w:val="Nagwek4Znak"/>
    <w:uiPriority w:val="9"/>
    <w:qFormat/>
    <w:pPr>
      <w:keepNext/>
      <w:jc w:val="center"/>
      <w:outlineLvl w:val="3"/>
    </w:pPr>
    <w:rPr>
      <w:b/>
      <w:bCs/>
      <w:sz w:val="20"/>
      <w:szCs w:val="20"/>
    </w:rPr>
  </w:style>
  <w:style w:type="paragraph" w:styleId="Nagwek5">
    <w:name w:val="heading 5"/>
    <w:basedOn w:val="Normalny"/>
    <w:next w:val="Normalny"/>
    <w:link w:val="Nagwek5Znak"/>
    <w:qFormat/>
    <w:pPr>
      <w:keepNext/>
      <w:spacing w:line="360" w:lineRule="auto"/>
      <w:jc w:val="right"/>
      <w:outlineLvl w:val="4"/>
    </w:pPr>
    <w:rPr>
      <w:rFonts w:ascii="Times New Roman" w:hAnsi="Times New Roman" w:cs="Times New Roman"/>
      <w:b/>
      <w:bCs/>
      <w:i/>
      <w:iCs/>
      <w:smallCaps/>
      <w:sz w:val="32"/>
      <w:szCs w:val="32"/>
      <w14:shadow w14:blurRad="50800" w14:dist="38100" w14:dir="2700000" w14:sx="100000" w14:sy="100000" w14:kx="0" w14:ky="0" w14:algn="tl">
        <w14:srgbClr w14:val="000000">
          <w14:alpha w14:val="60000"/>
        </w14:srgbClr>
      </w14:shadow>
    </w:rPr>
  </w:style>
  <w:style w:type="paragraph" w:styleId="Nagwek6">
    <w:name w:val="heading 6"/>
    <w:basedOn w:val="Normalny"/>
    <w:next w:val="Normalny"/>
    <w:qFormat/>
    <w:pPr>
      <w:keepNext/>
      <w:jc w:val="center"/>
      <w:outlineLvl w:val="5"/>
    </w:pPr>
    <w:rPr>
      <w:sz w:val="36"/>
      <w:szCs w:val="36"/>
    </w:rPr>
  </w:style>
  <w:style w:type="paragraph" w:styleId="Nagwek7">
    <w:name w:val="heading 7"/>
    <w:basedOn w:val="Normalny"/>
    <w:next w:val="Normalny"/>
    <w:qFormat/>
    <w:pPr>
      <w:keepNext/>
      <w:numPr>
        <w:numId w:val="2"/>
      </w:numPr>
      <w:jc w:val="both"/>
      <w:outlineLvl w:val="6"/>
    </w:pPr>
    <w:rPr>
      <w:sz w:val="32"/>
      <w:szCs w:val="32"/>
    </w:rPr>
  </w:style>
  <w:style w:type="paragraph" w:styleId="Nagwek8">
    <w:name w:val="heading 8"/>
    <w:basedOn w:val="Normalny"/>
    <w:next w:val="Normalny"/>
    <w:qFormat/>
    <w:pPr>
      <w:keepNext/>
      <w:jc w:val="both"/>
      <w:outlineLvl w:val="7"/>
    </w:pPr>
    <w:rPr>
      <w:sz w:val="36"/>
      <w:szCs w:val="36"/>
    </w:rPr>
  </w:style>
  <w:style w:type="paragraph" w:styleId="Nagwek9">
    <w:name w:val="heading 9"/>
    <w:basedOn w:val="Normalny"/>
    <w:next w:val="Normalny"/>
    <w:qFormat/>
    <w:pPr>
      <w:keepNext/>
      <w:jc w:val="center"/>
      <w:outlineLvl w:val="8"/>
    </w:pPr>
    <w:rPr>
      <w:rFonts w:ascii="Times New Roman" w:hAnsi="Times New Roman" w:cs="Times New Roman"/>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D41C60"/>
    <w:rPr>
      <w:rFonts w:ascii="Tunga" w:hAnsi="Tunga"/>
      <w:b/>
      <w:bCs/>
    </w:rPr>
  </w:style>
  <w:style w:type="character" w:customStyle="1" w:styleId="Nagwek2Znak">
    <w:name w:val="Nagłówek 2 Znak"/>
    <w:link w:val="Nagwek2"/>
    <w:uiPriority w:val="9"/>
    <w:rsid w:val="00D41C60"/>
    <w:rPr>
      <w:rFonts w:ascii="Tunga" w:hAnsi="Tunga" w:cs="Tahoma"/>
      <w:sz w:val="32"/>
      <w:szCs w:val="32"/>
    </w:rPr>
  </w:style>
  <w:style w:type="character" w:customStyle="1" w:styleId="Nagwek4Znak">
    <w:name w:val="Nagłówek 4 Znak"/>
    <w:link w:val="Nagwek4"/>
    <w:uiPriority w:val="9"/>
    <w:rsid w:val="00D41C60"/>
    <w:rPr>
      <w:rFonts w:ascii="Tunga" w:hAnsi="Tunga" w:cs="Tahoma"/>
      <w:b/>
      <w:bCs/>
    </w:rPr>
  </w:style>
  <w:style w:type="character" w:customStyle="1" w:styleId="Nagwek5Znak">
    <w:name w:val="Nagłówek 5 Znak"/>
    <w:link w:val="Nagwek5"/>
    <w:rsid w:val="00D41C60"/>
    <w:rPr>
      <w:b/>
      <w:bCs/>
      <w:i/>
      <w:iCs/>
      <w:smallCaps/>
      <w:sz w:val="32"/>
      <w:szCs w:val="32"/>
      <w14:shadow w14:blurRad="50800" w14:dist="38100" w14:dir="2700000" w14:sx="100000" w14:sy="100000" w14:kx="0" w14:ky="0" w14:algn="tl">
        <w14:srgbClr w14:val="000000">
          <w14:alpha w14:val="60000"/>
        </w14:srgbClr>
      </w14:shadow>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rsid w:val="00D41C60"/>
    <w:rPr>
      <w:rFonts w:ascii="Tunga" w:hAnsi="Tunga" w:cs="Tahoma"/>
      <w:sz w:val="24"/>
      <w:szCs w:val="24"/>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link w:val="Stopka"/>
    <w:uiPriority w:val="99"/>
    <w:rsid w:val="00D41C60"/>
    <w:rPr>
      <w:rFonts w:ascii="Tunga" w:hAnsi="Tunga" w:cs="Tahoma"/>
      <w:sz w:val="24"/>
      <w:szCs w:val="24"/>
    </w:rPr>
  </w:style>
  <w:style w:type="character" w:styleId="Numerstrony">
    <w:name w:val="page number"/>
    <w:basedOn w:val="Domylnaczcionkaakapitu"/>
  </w:style>
  <w:style w:type="paragraph" w:styleId="Tekstpodstawowy">
    <w:name w:val="Body Text"/>
    <w:basedOn w:val="Normalny"/>
    <w:link w:val="TekstpodstawowyZnak"/>
    <w:pPr>
      <w:spacing w:line="360" w:lineRule="auto"/>
      <w:jc w:val="both"/>
    </w:pPr>
  </w:style>
  <w:style w:type="character" w:customStyle="1" w:styleId="TekstpodstawowyZnak">
    <w:name w:val="Tekst podstawowy Znak"/>
    <w:link w:val="Tekstpodstawowy"/>
    <w:rsid w:val="00D41C60"/>
    <w:rPr>
      <w:rFonts w:ascii="Tunga" w:hAnsi="Tunga" w:cs="Tahoma"/>
      <w:sz w:val="24"/>
      <w:szCs w:val="24"/>
    </w:rPr>
  </w:style>
  <w:style w:type="paragraph" w:styleId="Tekstpodstawowywcity">
    <w:name w:val="Body Text Indent"/>
    <w:basedOn w:val="Normalny"/>
    <w:link w:val="TekstpodstawowywcityZnak"/>
    <w:uiPriority w:val="99"/>
    <w:pPr>
      <w:spacing w:line="360" w:lineRule="auto"/>
      <w:ind w:left="680"/>
      <w:jc w:val="both"/>
    </w:pPr>
  </w:style>
  <w:style w:type="character" w:customStyle="1" w:styleId="TekstpodstawowywcityZnak">
    <w:name w:val="Tekst podstawowy wcięty Znak"/>
    <w:link w:val="Tekstpodstawowywcity"/>
    <w:uiPriority w:val="99"/>
    <w:rsid w:val="00D41C60"/>
    <w:rPr>
      <w:rFonts w:ascii="Tunga" w:hAnsi="Tunga" w:cs="Tahoma"/>
      <w:sz w:val="24"/>
      <w:szCs w:val="24"/>
    </w:rPr>
  </w:style>
  <w:style w:type="paragraph" w:styleId="Tekstpodstawowywcity2">
    <w:name w:val="Body Text Indent 2"/>
    <w:basedOn w:val="Normalny"/>
    <w:semiHidden/>
    <w:pPr>
      <w:spacing w:line="360" w:lineRule="auto"/>
      <w:ind w:left="680"/>
      <w:jc w:val="both"/>
    </w:pPr>
    <w:rPr>
      <w:u w:val="single"/>
    </w:rPr>
  </w:style>
  <w:style w:type="paragraph" w:styleId="Tekstpodstawowywcity3">
    <w:name w:val="Body Text Indent 3"/>
    <w:basedOn w:val="Normalny"/>
    <w:link w:val="Tekstpodstawowywcity3Znak"/>
    <w:uiPriority w:val="99"/>
    <w:semiHidden/>
    <w:pPr>
      <w:tabs>
        <w:tab w:val="left" w:pos="-1980"/>
      </w:tabs>
      <w:ind w:left="964"/>
      <w:jc w:val="both"/>
    </w:pPr>
    <w:rPr>
      <w:rFonts w:ascii="Arial" w:hAnsi="Arial" w:cs="Arial"/>
    </w:rPr>
  </w:style>
  <w:style w:type="character" w:customStyle="1" w:styleId="Tekstpodstawowywcity3Znak">
    <w:name w:val="Tekst podstawowy wcięty 3 Znak"/>
    <w:link w:val="Tekstpodstawowywcity3"/>
    <w:uiPriority w:val="99"/>
    <w:semiHidden/>
    <w:rsid w:val="00D41C60"/>
    <w:rPr>
      <w:rFonts w:ascii="Arial" w:hAnsi="Arial" w:cs="Arial"/>
      <w:sz w:val="24"/>
      <w:szCs w:val="24"/>
    </w:rPr>
  </w:style>
  <w:style w:type="paragraph" w:styleId="Tekstpodstawowy2">
    <w:name w:val="Body Text 2"/>
    <w:basedOn w:val="Normalny"/>
    <w:link w:val="Tekstpodstawowy2Znak"/>
    <w:rPr>
      <w:sz w:val="16"/>
      <w:szCs w:val="16"/>
    </w:rPr>
  </w:style>
  <w:style w:type="character" w:customStyle="1" w:styleId="Tekstpodstawowy2Znak">
    <w:name w:val="Tekst podstawowy 2 Znak"/>
    <w:link w:val="Tekstpodstawowy2"/>
    <w:rsid w:val="00D41C60"/>
    <w:rPr>
      <w:rFonts w:ascii="Tunga" w:hAnsi="Tunga" w:cs="Tahoma"/>
      <w:sz w:val="16"/>
      <w:szCs w:val="16"/>
    </w:rPr>
  </w:style>
  <w:style w:type="paragraph" w:styleId="Tekstpodstawowy3">
    <w:name w:val="Body Text 3"/>
    <w:basedOn w:val="Normalny"/>
    <w:semiHidden/>
    <w:pPr>
      <w:jc w:val="center"/>
    </w:pPr>
    <w:rPr>
      <w:rFonts w:ascii="Arial" w:hAnsi="Arial" w:cs="Arial"/>
      <w:sz w:val="20"/>
      <w:szCs w:val="20"/>
    </w:rPr>
  </w:style>
  <w:style w:type="paragraph" w:customStyle="1" w:styleId="Plandokumentu">
    <w:name w:val="Plan dokumentu"/>
    <w:basedOn w:val="Normalny"/>
    <w:semiHidden/>
    <w:pPr>
      <w:shd w:val="clear" w:color="auto" w:fill="000080"/>
    </w:pPr>
    <w:rPr>
      <w:rFonts w:ascii="Tahoma" w:hAnsi="Tahoma"/>
    </w:rPr>
  </w:style>
  <w:style w:type="character" w:styleId="Odwoaniedokomentarza">
    <w:name w:val="annotation reference"/>
    <w:uiPriority w:val="99"/>
    <w:semiHidden/>
    <w:rPr>
      <w:sz w:val="16"/>
      <w:szCs w:val="16"/>
    </w:rPr>
  </w:style>
  <w:style w:type="paragraph" w:styleId="Tekstkomentarza">
    <w:name w:val="annotation text"/>
    <w:basedOn w:val="Normalny"/>
    <w:link w:val="TekstkomentarzaZnak"/>
    <w:uiPriority w:val="99"/>
    <w:semiHidden/>
    <w:rPr>
      <w:sz w:val="20"/>
      <w:szCs w:val="20"/>
    </w:rPr>
  </w:style>
  <w:style w:type="character" w:customStyle="1" w:styleId="TekstkomentarzaZnak">
    <w:name w:val="Tekst komentarza Znak"/>
    <w:link w:val="Tekstkomentarza"/>
    <w:uiPriority w:val="99"/>
    <w:semiHidden/>
    <w:rsid w:val="00D4795E"/>
    <w:rPr>
      <w:rFonts w:ascii="Tunga" w:hAnsi="Tunga" w:cs="Tahoma"/>
    </w:rPr>
  </w:style>
  <w:style w:type="paragraph" w:styleId="Tekstdymka">
    <w:name w:val="Balloon Text"/>
    <w:basedOn w:val="Normalny"/>
    <w:link w:val="TekstdymkaZnak"/>
    <w:uiPriority w:val="99"/>
    <w:semiHidden/>
    <w:rPr>
      <w:rFonts w:ascii="Tahoma" w:hAnsi="Tahoma"/>
      <w:sz w:val="16"/>
      <w:szCs w:val="16"/>
    </w:rPr>
  </w:style>
  <w:style w:type="character" w:customStyle="1" w:styleId="TekstdymkaZnak">
    <w:name w:val="Tekst dymka Znak"/>
    <w:link w:val="Tekstdymka"/>
    <w:uiPriority w:val="99"/>
    <w:semiHidden/>
    <w:rsid w:val="00D41C60"/>
    <w:rPr>
      <w:rFonts w:ascii="Tahoma" w:hAnsi="Tahoma" w:cs="Tahoma"/>
      <w:sz w:val="16"/>
      <w:szCs w:val="16"/>
    </w:rPr>
  </w:style>
  <w:style w:type="paragraph" w:customStyle="1" w:styleId="Default">
    <w:name w:val="Default"/>
    <w:rsid w:val="003E6120"/>
    <w:pPr>
      <w:autoSpaceDE w:val="0"/>
      <w:autoSpaceDN w:val="0"/>
      <w:adjustRightInd w:val="0"/>
    </w:pPr>
    <w:rPr>
      <w:rFonts w:eastAsia="Calibri"/>
      <w:color w:val="000000"/>
      <w:sz w:val="24"/>
      <w:szCs w:val="24"/>
    </w:rPr>
  </w:style>
  <w:style w:type="paragraph" w:styleId="Akapitzlist">
    <w:name w:val="List Paragraph"/>
    <w:basedOn w:val="Normalny"/>
    <w:uiPriority w:val="34"/>
    <w:qFormat/>
    <w:rsid w:val="00351F3B"/>
    <w:pPr>
      <w:ind w:left="720"/>
      <w:contextualSpacing/>
    </w:pPr>
    <w:rPr>
      <w:rFonts w:ascii="Times New Roman" w:hAnsi="Times New Roman" w:cs="Times New Roman"/>
    </w:rPr>
  </w:style>
  <w:style w:type="table" w:customStyle="1" w:styleId="Jasnasiatka1">
    <w:name w:val="Jasna siatka1"/>
    <w:basedOn w:val="Standardowy"/>
    <w:uiPriority w:val="62"/>
    <w:rsid w:val="005A781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StylNagwek4InterliniaWielokrotne11wrs">
    <w:name w:val="Styl Nagłówek 4 + Interlinia:  Wielokrotne 11 wrs"/>
    <w:basedOn w:val="Nagwek4"/>
    <w:next w:val="Tekstpodstawowy2"/>
    <w:autoRedefine/>
    <w:rsid w:val="005A7812"/>
    <w:pPr>
      <w:suppressAutoHyphens/>
      <w:autoSpaceDE w:val="0"/>
      <w:ind w:right="-170"/>
    </w:pPr>
    <w:rPr>
      <w:rFonts w:ascii="Times New Roman" w:hAnsi="Times New Roman" w:cs="Times New Roman"/>
      <w:position w:val="-9"/>
      <w:sz w:val="28"/>
      <w:szCs w:val="28"/>
      <w:lang w:eastAsia="ar-SA"/>
    </w:rPr>
  </w:style>
  <w:style w:type="paragraph" w:styleId="Tematkomentarza">
    <w:name w:val="annotation subject"/>
    <w:basedOn w:val="Tekstkomentarza"/>
    <w:next w:val="Tekstkomentarza"/>
    <w:link w:val="TematkomentarzaZnak"/>
    <w:uiPriority w:val="99"/>
    <w:semiHidden/>
    <w:unhideWhenUsed/>
    <w:rsid w:val="00D4795E"/>
    <w:rPr>
      <w:b/>
      <w:bCs/>
    </w:rPr>
  </w:style>
  <w:style w:type="character" w:customStyle="1" w:styleId="TematkomentarzaZnak">
    <w:name w:val="Temat komentarza Znak"/>
    <w:link w:val="Tematkomentarza"/>
    <w:uiPriority w:val="99"/>
    <w:semiHidden/>
    <w:rsid w:val="00D4795E"/>
    <w:rPr>
      <w:rFonts w:ascii="Tunga" w:hAnsi="Tunga" w:cs="Tahoma"/>
      <w:b/>
      <w:bCs/>
    </w:rPr>
  </w:style>
  <w:style w:type="paragraph" w:styleId="Poprawka">
    <w:name w:val="Revision"/>
    <w:hidden/>
    <w:uiPriority w:val="99"/>
    <w:semiHidden/>
    <w:rsid w:val="00D4795E"/>
    <w:rPr>
      <w:rFonts w:ascii="Tunga" w:hAnsi="Tunga" w:cs="Tahoma"/>
      <w:sz w:val="24"/>
      <w:szCs w:val="24"/>
    </w:rPr>
  </w:style>
  <w:style w:type="table" w:styleId="Tabela-Siatka">
    <w:name w:val="Table Grid"/>
    <w:basedOn w:val="Standardowy"/>
    <w:uiPriority w:val="59"/>
    <w:rsid w:val="00D41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link w:val="TytuZnak"/>
    <w:qFormat/>
    <w:rsid w:val="00D41C60"/>
    <w:pPr>
      <w:ind w:left="7080" w:firstLine="291"/>
      <w:jc w:val="center"/>
    </w:pPr>
    <w:rPr>
      <w:rFonts w:ascii="Times New Roman" w:hAnsi="Times New Roman" w:cs="Times New Roman"/>
      <w:b/>
      <w:i/>
    </w:rPr>
  </w:style>
  <w:style w:type="character" w:customStyle="1" w:styleId="TytuZnak">
    <w:name w:val="Tytuł Znak"/>
    <w:link w:val="Tytu"/>
    <w:rsid w:val="00D41C60"/>
    <w:rPr>
      <w:b/>
      <w:i/>
      <w:sz w:val="24"/>
      <w:szCs w:val="24"/>
    </w:rPr>
  </w:style>
  <w:style w:type="paragraph" w:styleId="Spistreci1">
    <w:name w:val="toc 1"/>
    <w:basedOn w:val="Normalny"/>
    <w:next w:val="Normalny"/>
    <w:autoRedefine/>
    <w:uiPriority w:val="39"/>
    <w:rsid w:val="00D41C60"/>
    <w:pPr>
      <w:tabs>
        <w:tab w:val="right" w:leader="dot" w:pos="9060"/>
      </w:tabs>
      <w:spacing w:before="120" w:after="120"/>
    </w:pPr>
    <w:rPr>
      <w:rFonts w:ascii="Tahoma" w:hAnsi="Tahoma"/>
      <w:bCs/>
      <w:caps/>
      <w:noProof/>
    </w:rPr>
  </w:style>
  <w:style w:type="character" w:styleId="Hipercze">
    <w:name w:val="Hyperlink"/>
    <w:uiPriority w:val="99"/>
    <w:rsid w:val="00D41C60"/>
    <w:rPr>
      <w:color w:val="0000FF"/>
      <w:u w:val="single"/>
    </w:rPr>
  </w:style>
  <w:style w:type="paragraph" w:styleId="Spistreci2">
    <w:name w:val="toc 2"/>
    <w:basedOn w:val="Normalny"/>
    <w:next w:val="Normalny"/>
    <w:autoRedefine/>
    <w:uiPriority w:val="39"/>
    <w:rsid w:val="00D41C60"/>
    <w:rPr>
      <w:rFonts w:ascii="Times New Roman" w:hAnsi="Times New Roman" w:cs="Times New Roman"/>
    </w:rPr>
  </w:style>
  <w:style w:type="paragraph" w:styleId="Tekstprzypisudolnego">
    <w:name w:val="footnote text"/>
    <w:basedOn w:val="Normalny"/>
    <w:link w:val="TekstprzypisudolnegoZnak"/>
    <w:rsid w:val="00D41C60"/>
    <w:pPr>
      <w:suppressAutoHyphens/>
      <w:autoSpaceDE w:val="0"/>
      <w:ind w:left="357"/>
      <w:jc w:val="both"/>
    </w:pPr>
    <w:rPr>
      <w:rFonts w:ascii="Times New Roman" w:hAnsi="Times New Roman" w:cs="Times New Roman"/>
      <w:color w:val="0000FF"/>
      <w:position w:val="-9"/>
      <w:sz w:val="16"/>
      <w:szCs w:val="20"/>
      <w:lang w:eastAsia="ar-SA"/>
    </w:rPr>
  </w:style>
  <w:style w:type="character" w:customStyle="1" w:styleId="TekstprzypisudolnegoZnak">
    <w:name w:val="Tekst przypisu dolnego Znak"/>
    <w:link w:val="Tekstprzypisudolnego"/>
    <w:rsid w:val="00D41C60"/>
    <w:rPr>
      <w:color w:val="0000FF"/>
      <w:position w:val="-9"/>
      <w:sz w:val="16"/>
      <w:lang w:eastAsia="ar-SA"/>
    </w:rPr>
  </w:style>
  <w:style w:type="paragraph" w:styleId="Nagwekspisutreci">
    <w:name w:val="TOC Heading"/>
    <w:basedOn w:val="Nagwek1"/>
    <w:next w:val="Normalny"/>
    <w:uiPriority w:val="39"/>
    <w:semiHidden/>
    <w:unhideWhenUsed/>
    <w:qFormat/>
    <w:rsid w:val="00D41C60"/>
    <w:pPr>
      <w:keepLines/>
      <w:spacing w:before="480" w:line="276" w:lineRule="auto"/>
      <w:jc w:val="left"/>
      <w:outlineLvl w:val="9"/>
    </w:pPr>
    <w:rPr>
      <w:rFonts w:ascii="Cambria" w:hAnsi="Cambria"/>
      <w:color w:val="365F91"/>
      <w:sz w:val="28"/>
      <w:szCs w:val="28"/>
      <w:lang w:eastAsia="en-US"/>
    </w:rPr>
  </w:style>
  <w:style w:type="character" w:styleId="Uwydatnienie">
    <w:name w:val="Emphasis"/>
    <w:uiPriority w:val="20"/>
    <w:qFormat/>
    <w:rsid w:val="00D41C60"/>
    <w:rPr>
      <w:i/>
      <w:iCs/>
    </w:rPr>
  </w:style>
  <w:style w:type="character" w:customStyle="1" w:styleId="markedcontent">
    <w:name w:val="markedcontent"/>
    <w:basedOn w:val="Domylnaczcionkaakapitu"/>
    <w:rsid w:val="00A77A86"/>
  </w:style>
  <w:style w:type="character" w:customStyle="1" w:styleId="UnresolvedMention">
    <w:name w:val="Unresolved Mention"/>
    <w:basedOn w:val="Domylnaczcionkaakapitu"/>
    <w:uiPriority w:val="99"/>
    <w:semiHidden/>
    <w:unhideWhenUsed/>
    <w:rsid w:val="007179A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rFonts w:ascii="Tunga" w:hAnsi="Tunga" w:cs="Tahoma"/>
      <w:sz w:val="24"/>
      <w:szCs w:val="24"/>
    </w:rPr>
  </w:style>
  <w:style w:type="paragraph" w:styleId="Nagwek1">
    <w:name w:val="heading 1"/>
    <w:basedOn w:val="Normalny"/>
    <w:next w:val="Normalny"/>
    <w:link w:val="Nagwek1Znak"/>
    <w:qFormat/>
    <w:pPr>
      <w:keepNext/>
      <w:jc w:val="center"/>
      <w:outlineLvl w:val="0"/>
    </w:pPr>
    <w:rPr>
      <w:rFonts w:cs="Times New Roman"/>
      <w:b/>
      <w:bCs/>
      <w:sz w:val="20"/>
      <w:szCs w:val="20"/>
    </w:rPr>
  </w:style>
  <w:style w:type="paragraph" w:styleId="Nagwek2">
    <w:name w:val="heading 2"/>
    <w:basedOn w:val="Normalny"/>
    <w:next w:val="Normalny"/>
    <w:link w:val="Nagwek2Znak"/>
    <w:uiPriority w:val="9"/>
    <w:qFormat/>
    <w:pPr>
      <w:keepNext/>
      <w:numPr>
        <w:numId w:val="1"/>
      </w:numPr>
      <w:jc w:val="both"/>
      <w:outlineLvl w:val="1"/>
    </w:pPr>
    <w:rPr>
      <w:sz w:val="32"/>
      <w:szCs w:val="32"/>
    </w:rPr>
  </w:style>
  <w:style w:type="paragraph" w:styleId="Nagwek3">
    <w:name w:val="heading 3"/>
    <w:basedOn w:val="Normalny"/>
    <w:next w:val="Normalny"/>
    <w:qFormat/>
    <w:pPr>
      <w:keepNext/>
      <w:spacing w:line="360" w:lineRule="auto"/>
      <w:ind w:left="680"/>
      <w:jc w:val="both"/>
      <w:outlineLvl w:val="2"/>
    </w:pPr>
    <w:rPr>
      <w:u w:val="single"/>
    </w:rPr>
  </w:style>
  <w:style w:type="paragraph" w:styleId="Nagwek4">
    <w:name w:val="heading 4"/>
    <w:basedOn w:val="Normalny"/>
    <w:next w:val="Normalny"/>
    <w:link w:val="Nagwek4Znak"/>
    <w:uiPriority w:val="9"/>
    <w:qFormat/>
    <w:pPr>
      <w:keepNext/>
      <w:jc w:val="center"/>
      <w:outlineLvl w:val="3"/>
    </w:pPr>
    <w:rPr>
      <w:b/>
      <w:bCs/>
      <w:sz w:val="20"/>
      <w:szCs w:val="20"/>
    </w:rPr>
  </w:style>
  <w:style w:type="paragraph" w:styleId="Nagwek5">
    <w:name w:val="heading 5"/>
    <w:basedOn w:val="Normalny"/>
    <w:next w:val="Normalny"/>
    <w:link w:val="Nagwek5Znak"/>
    <w:qFormat/>
    <w:pPr>
      <w:keepNext/>
      <w:spacing w:line="360" w:lineRule="auto"/>
      <w:jc w:val="right"/>
      <w:outlineLvl w:val="4"/>
    </w:pPr>
    <w:rPr>
      <w:rFonts w:ascii="Times New Roman" w:hAnsi="Times New Roman" w:cs="Times New Roman"/>
      <w:b/>
      <w:bCs/>
      <w:i/>
      <w:iCs/>
      <w:smallCaps/>
      <w:sz w:val="32"/>
      <w:szCs w:val="32"/>
      <w14:shadow w14:blurRad="50800" w14:dist="38100" w14:dir="2700000" w14:sx="100000" w14:sy="100000" w14:kx="0" w14:ky="0" w14:algn="tl">
        <w14:srgbClr w14:val="000000">
          <w14:alpha w14:val="60000"/>
        </w14:srgbClr>
      </w14:shadow>
    </w:rPr>
  </w:style>
  <w:style w:type="paragraph" w:styleId="Nagwek6">
    <w:name w:val="heading 6"/>
    <w:basedOn w:val="Normalny"/>
    <w:next w:val="Normalny"/>
    <w:qFormat/>
    <w:pPr>
      <w:keepNext/>
      <w:jc w:val="center"/>
      <w:outlineLvl w:val="5"/>
    </w:pPr>
    <w:rPr>
      <w:sz w:val="36"/>
      <w:szCs w:val="36"/>
    </w:rPr>
  </w:style>
  <w:style w:type="paragraph" w:styleId="Nagwek7">
    <w:name w:val="heading 7"/>
    <w:basedOn w:val="Normalny"/>
    <w:next w:val="Normalny"/>
    <w:qFormat/>
    <w:pPr>
      <w:keepNext/>
      <w:numPr>
        <w:numId w:val="2"/>
      </w:numPr>
      <w:jc w:val="both"/>
      <w:outlineLvl w:val="6"/>
    </w:pPr>
    <w:rPr>
      <w:sz w:val="32"/>
      <w:szCs w:val="32"/>
    </w:rPr>
  </w:style>
  <w:style w:type="paragraph" w:styleId="Nagwek8">
    <w:name w:val="heading 8"/>
    <w:basedOn w:val="Normalny"/>
    <w:next w:val="Normalny"/>
    <w:qFormat/>
    <w:pPr>
      <w:keepNext/>
      <w:jc w:val="both"/>
      <w:outlineLvl w:val="7"/>
    </w:pPr>
    <w:rPr>
      <w:sz w:val="36"/>
      <w:szCs w:val="36"/>
    </w:rPr>
  </w:style>
  <w:style w:type="paragraph" w:styleId="Nagwek9">
    <w:name w:val="heading 9"/>
    <w:basedOn w:val="Normalny"/>
    <w:next w:val="Normalny"/>
    <w:qFormat/>
    <w:pPr>
      <w:keepNext/>
      <w:jc w:val="center"/>
      <w:outlineLvl w:val="8"/>
    </w:pPr>
    <w:rPr>
      <w:rFonts w:ascii="Times New Roman" w:hAnsi="Times New Roman" w:cs="Times New Roman"/>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D41C60"/>
    <w:rPr>
      <w:rFonts w:ascii="Tunga" w:hAnsi="Tunga"/>
      <w:b/>
      <w:bCs/>
    </w:rPr>
  </w:style>
  <w:style w:type="character" w:customStyle="1" w:styleId="Nagwek2Znak">
    <w:name w:val="Nagłówek 2 Znak"/>
    <w:link w:val="Nagwek2"/>
    <w:uiPriority w:val="9"/>
    <w:rsid w:val="00D41C60"/>
    <w:rPr>
      <w:rFonts w:ascii="Tunga" w:hAnsi="Tunga" w:cs="Tahoma"/>
      <w:sz w:val="32"/>
      <w:szCs w:val="32"/>
    </w:rPr>
  </w:style>
  <w:style w:type="character" w:customStyle="1" w:styleId="Nagwek4Znak">
    <w:name w:val="Nagłówek 4 Znak"/>
    <w:link w:val="Nagwek4"/>
    <w:uiPriority w:val="9"/>
    <w:rsid w:val="00D41C60"/>
    <w:rPr>
      <w:rFonts w:ascii="Tunga" w:hAnsi="Tunga" w:cs="Tahoma"/>
      <w:b/>
      <w:bCs/>
    </w:rPr>
  </w:style>
  <w:style w:type="character" w:customStyle="1" w:styleId="Nagwek5Znak">
    <w:name w:val="Nagłówek 5 Znak"/>
    <w:link w:val="Nagwek5"/>
    <w:rsid w:val="00D41C60"/>
    <w:rPr>
      <w:b/>
      <w:bCs/>
      <w:i/>
      <w:iCs/>
      <w:smallCaps/>
      <w:sz w:val="32"/>
      <w:szCs w:val="32"/>
      <w14:shadow w14:blurRad="50800" w14:dist="38100" w14:dir="2700000" w14:sx="100000" w14:sy="100000" w14:kx="0" w14:ky="0" w14:algn="tl">
        <w14:srgbClr w14:val="000000">
          <w14:alpha w14:val="60000"/>
        </w14:srgbClr>
      </w14:shadow>
    </w:rPr>
  </w:style>
  <w:style w:type="paragraph" w:styleId="Nagwek">
    <w:name w:val="header"/>
    <w:basedOn w:val="Normalny"/>
    <w:link w:val="NagwekZnak"/>
    <w:pPr>
      <w:tabs>
        <w:tab w:val="center" w:pos="4536"/>
        <w:tab w:val="right" w:pos="9072"/>
      </w:tabs>
    </w:pPr>
  </w:style>
  <w:style w:type="character" w:customStyle="1" w:styleId="NagwekZnak">
    <w:name w:val="Nagłówek Znak"/>
    <w:link w:val="Nagwek"/>
    <w:rsid w:val="00D41C60"/>
    <w:rPr>
      <w:rFonts w:ascii="Tunga" w:hAnsi="Tunga" w:cs="Tahoma"/>
      <w:sz w:val="24"/>
      <w:szCs w:val="24"/>
    </w:rPr>
  </w:style>
  <w:style w:type="paragraph" w:styleId="Stopka">
    <w:name w:val="footer"/>
    <w:basedOn w:val="Normalny"/>
    <w:link w:val="StopkaZnak"/>
    <w:uiPriority w:val="99"/>
    <w:pPr>
      <w:tabs>
        <w:tab w:val="center" w:pos="4536"/>
        <w:tab w:val="right" w:pos="9072"/>
      </w:tabs>
    </w:pPr>
  </w:style>
  <w:style w:type="character" w:customStyle="1" w:styleId="StopkaZnak">
    <w:name w:val="Stopka Znak"/>
    <w:link w:val="Stopka"/>
    <w:uiPriority w:val="99"/>
    <w:rsid w:val="00D41C60"/>
    <w:rPr>
      <w:rFonts w:ascii="Tunga" w:hAnsi="Tunga" w:cs="Tahoma"/>
      <w:sz w:val="24"/>
      <w:szCs w:val="24"/>
    </w:rPr>
  </w:style>
  <w:style w:type="character" w:styleId="Numerstrony">
    <w:name w:val="page number"/>
    <w:basedOn w:val="Domylnaczcionkaakapitu"/>
  </w:style>
  <w:style w:type="paragraph" w:styleId="Tekstpodstawowy">
    <w:name w:val="Body Text"/>
    <w:basedOn w:val="Normalny"/>
    <w:link w:val="TekstpodstawowyZnak"/>
    <w:pPr>
      <w:spacing w:line="360" w:lineRule="auto"/>
      <w:jc w:val="both"/>
    </w:pPr>
  </w:style>
  <w:style w:type="character" w:customStyle="1" w:styleId="TekstpodstawowyZnak">
    <w:name w:val="Tekst podstawowy Znak"/>
    <w:link w:val="Tekstpodstawowy"/>
    <w:rsid w:val="00D41C60"/>
    <w:rPr>
      <w:rFonts w:ascii="Tunga" w:hAnsi="Tunga" w:cs="Tahoma"/>
      <w:sz w:val="24"/>
      <w:szCs w:val="24"/>
    </w:rPr>
  </w:style>
  <w:style w:type="paragraph" w:styleId="Tekstpodstawowywcity">
    <w:name w:val="Body Text Indent"/>
    <w:basedOn w:val="Normalny"/>
    <w:link w:val="TekstpodstawowywcityZnak"/>
    <w:uiPriority w:val="99"/>
    <w:pPr>
      <w:spacing w:line="360" w:lineRule="auto"/>
      <w:ind w:left="680"/>
      <w:jc w:val="both"/>
    </w:pPr>
  </w:style>
  <w:style w:type="character" w:customStyle="1" w:styleId="TekstpodstawowywcityZnak">
    <w:name w:val="Tekst podstawowy wcięty Znak"/>
    <w:link w:val="Tekstpodstawowywcity"/>
    <w:uiPriority w:val="99"/>
    <w:rsid w:val="00D41C60"/>
    <w:rPr>
      <w:rFonts w:ascii="Tunga" w:hAnsi="Tunga" w:cs="Tahoma"/>
      <w:sz w:val="24"/>
      <w:szCs w:val="24"/>
    </w:rPr>
  </w:style>
  <w:style w:type="paragraph" w:styleId="Tekstpodstawowywcity2">
    <w:name w:val="Body Text Indent 2"/>
    <w:basedOn w:val="Normalny"/>
    <w:semiHidden/>
    <w:pPr>
      <w:spacing w:line="360" w:lineRule="auto"/>
      <w:ind w:left="680"/>
      <w:jc w:val="both"/>
    </w:pPr>
    <w:rPr>
      <w:u w:val="single"/>
    </w:rPr>
  </w:style>
  <w:style w:type="paragraph" w:styleId="Tekstpodstawowywcity3">
    <w:name w:val="Body Text Indent 3"/>
    <w:basedOn w:val="Normalny"/>
    <w:link w:val="Tekstpodstawowywcity3Znak"/>
    <w:uiPriority w:val="99"/>
    <w:semiHidden/>
    <w:pPr>
      <w:tabs>
        <w:tab w:val="left" w:pos="-1980"/>
      </w:tabs>
      <w:ind w:left="964"/>
      <w:jc w:val="both"/>
    </w:pPr>
    <w:rPr>
      <w:rFonts w:ascii="Arial" w:hAnsi="Arial" w:cs="Arial"/>
    </w:rPr>
  </w:style>
  <w:style w:type="character" w:customStyle="1" w:styleId="Tekstpodstawowywcity3Znak">
    <w:name w:val="Tekst podstawowy wcięty 3 Znak"/>
    <w:link w:val="Tekstpodstawowywcity3"/>
    <w:uiPriority w:val="99"/>
    <w:semiHidden/>
    <w:rsid w:val="00D41C60"/>
    <w:rPr>
      <w:rFonts w:ascii="Arial" w:hAnsi="Arial" w:cs="Arial"/>
      <w:sz w:val="24"/>
      <w:szCs w:val="24"/>
    </w:rPr>
  </w:style>
  <w:style w:type="paragraph" w:styleId="Tekstpodstawowy2">
    <w:name w:val="Body Text 2"/>
    <w:basedOn w:val="Normalny"/>
    <w:link w:val="Tekstpodstawowy2Znak"/>
    <w:rPr>
      <w:sz w:val="16"/>
      <w:szCs w:val="16"/>
    </w:rPr>
  </w:style>
  <w:style w:type="character" w:customStyle="1" w:styleId="Tekstpodstawowy2Znak">
    <w:name w:val="Tekst podstawowy 2 Znak"/>
    <w:link w:val="Tekstpodstawowy2"/>
    <w:rsid w:val="00D41C60"/>
    <w:rPr>
      <w:rFonts w:ascii="Tunga" w:hAnsi="Tunga" w:cs="Tahoma"/>
      <w:sz w:val="16"/>
      <w:szCs w:val="16"/>
    </w:rPr>
  </w:style>
  <w:style w:type="paragraph" w:styleId="Tekstpodstawowy3">
    <w:name w:val="Body Text 3"/>
    <w:basedOn w:val="Normalny"/>
    <w:semiHidden/>
    <w:pPr>
      <w:jc w:val="center"/>
    </w:pPr>
    <w:rPr>
      <w:rFonts w:ascii="Arial" w:hAnsi="Arial" w:cs="Arial"/>
      <w:sz w:val="20"/>
      <w:szCs w:val="20"/>
    </w:rPr>
  </w:style>
  <w:style w:type="paragraph" w:customStyle="1" w:styleId="Plandokumentu">
    <w:name w:val="Plan dokumentu"/>
    <w:basedOn w:val="Normalny"/>
    <w:semiHidden/>
    <w:pPr>
      <w:shd w:val="clear" w:color="auto" w:fill="000080"/>
    </w:pPr>
    <w:rPr>
      <w:rFonts w:ascii="Tahoma" w:hAnsi="Tahoma"/>
    </w:rPr>
  </w:style>
  <w:style w:type="character" w:styleId="Odwoaniedokomentarza">
    <w:name w:val="annotation reference"/>
    <w:uiPriority w:val="99"/>
    <w:semiHidden/>
    <w:rPr>
      <w:sz w:val="16"/>
      <w:szCs w:val="16"/>
    </w:rPr>
  </w:style>
  <w:style w:type="paragraph" w:styleId="Tekstkomentarza">
    <w:name w:val="annotation text"/>
    <w:basedOn w:val="Normalny"/>
    <w:link w:val="TekstkomentarzaZnak"/>
    <w:uiPriority w:val="99"/>
    <w:semiHidden/>
    <w:rPr>
      <w:sz w:val="20"/>
      <w:szCs w:val="20"/>
    </w:rPr>
  </w:style>
  <w:style w:type="character" w:customStyle="1" w:styleId="TekstkomentarzaZnak">
    <w:name w:val="Tekst komentarza Znak"/>
    <w:link w:val="Tekstkomentarza"/>
    <w:uiPriority w:val="99"/>
    <w:semiHidden/>
    <w:rsid w:val="00D4795E"/>
    <w:rPr>
      <w:rFonts w:ascii="Tunga" w:hAnsi="Tunga" w:cs="Tahoma"/>
    </w:rPr>
  </w:style>
  <w:style w:type="paragraph" w:styleId="Tekstdymka">
    <w:name w:val="Balloon Text"/>
    <w:basedOn w:val="Normalny"/>
    <w:link w:val="TekstdymkaZnak"/>
    <w:uiPriority w:val="99"/>
    <w:semiHidden/>
    <w:rPr>
      <w:rFonts w:ascii="Tahoma" w:hAnsi="Tahoma"/>
      <w:sz w:val="16"/>
      <w:szCs w:val="16"/>
    </w:rPr>
  </w:style>
  <w:style w:type="character" w:customStyle="1" w:styleId="TekstdymkaZnak">
    <w:name w:val="Tekst dymka Znak"/>
    <w:link w:val="Tekstdymka"/>
    <w:uiPriority w:val="99"/>
    <w:semiHidden/>
    <w:rsid w:val="00D41C60"/>
    <w:rPr>
      <w:rFonts w:ascii="Tahoma" w:hAnsi="Tahoma" w:cs="Tahoma"/>
      <w:sz w:val="16"/>
      <w:szCs w:val="16"/>
    </w:rPr>
  </w:style>
  <w:style w:type="paragraph" w:customStyle="1" w:styleId="Default">
    <w:name w:val="Default"/>
    <w:rsid w:val="003E6120"/>
    <w:pPr>
      <w:autoSpaceDE w:val="0"/>
      <w:autoSpaceDN w:val="0"/>
      <w:adjustRightInd w:val="0"/>
    </w:pPr>
    <w:rPr>
      <w:rFonts w:eastAsia="Calibri"/>
      <w:color w:val="000000"/>
      <w:sz w:val="24"/>
      <w:szCs w:val="24"/>
    </w:rPr>
  </w:style>
  <w:style w:type="paragraph" w:styleId="Akapitzlist">
    <w:name w:val="List Paragraph"/>
    <w:basedOn w:val="Normalny"/>
    <w:uiPriority w:val="34"/>
    <w:qFormat/>
    <w:rsid w:val="00351F3B"/>
    <w:pPr>
      <w:ind w:left="720"/>
      <w:contextualSpacing/>
    </w:pPr>
    <w:rPr>
      <w:rFonts w:ascii="Times New Roman" w:hAnsi="Times New Roman" w:cs="Times New Roman"/>
    </w:rPr>
  </w:style>
  <w:style w:type="table" w:customStyle="1" w:styleId="Jasnasiatka1">
    <w:name w:val="Jasna siatka1"/>
    <w:basedOn w:val="Standardowy"/>
    <w:uiPriority w:val="62"/>
    <w:rsid w:val="005A7812"/>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customStyle="1" w:styleId="StylNagwek4InterliniaWielokrotne11wrs">
    <w:name w:val="Styl Nagłówek 4 + Interlinia:  Wielokrotne 11 wrs"/>
    <w:basedOn w:val="Nagwek4"/>
    <w:next w:val="Tekstpodstawowy2"/>
    <w:autoRedefine/>
    <w:rsid w:val="005A7812"/>
    <w:pPr>
      <w:suppressAutoHyphens/>
      <w:autoSpaceDE w:val="0"/>
      <w:ind w:right="-170"/>
    </w:pPr>
    <w:rPr>
      <w:rFonts w:ascii="Times New Roman" w:hAnsi="Times New Roman" w:cs="Times New Roman"/>
      <w:position w:val="-9"/>
      <w:sz w:val="28"/>
      <w:szCs w:val="28"/>
      <w:lang w:eastAsia="ar-SA"/>
    </w:rPr>
  </w:style>
  <w:style w:type="paragraph" w:styleId="Tematkomentarza">
    <w:name w:val="annotation subject"/>
    <w:basedOn w:val="Tekstkomentarza"/>
    <w:next w:val="Tekstkomentarza"/>
    <w:link w:val="TematkomentarzaZnak"/>
    <w:uiPriority w:val="99"/>
    <w:semiHidden/>
    <w:unhideWhenUsed/>
    <w:rsid w:val="00D4795E"/>
    <w:rPr>
      <w:b/>
      <w:bCs/>
    </w:rPr>
  </w:style>
  <w:style w:type="character" w:customStyle="1" w:styleId="TematkomentarzaZnak">
    <w:name w:val="Temat komentarza Znak"/>
    <w:link w:val="Tematkomentarza"/>
    <w:uiPriority w:val="99"/>
    <w:semiHidden/>
    <w:rsid w:val="00D4795E"/>
    <w:rPr>
      <w:rFonts w:ascii="Tunga" w:hAnsi="Tunga" w:cs="Tahoma"/>
      <w:b/>
      <w:bCs/>
    </w:rPr>
  </w:style>
  <w:style w:type="paragraph" w:styleId="Poprawka">
    <w:name w:val="Revision"/>
    <w:hidden/>
    <w:uiPriority w:val="99"/>
    <w:semiHidden/>
    <w:rsid w:val="00D4795E"/>
    <w:rPr>
      <w:rFonts w:ascii="Tunga" w:hAnsi="Tunga" w:cs="Tahoma"/>
      <w:sz w:val="24"/>
      <w:szCs w:val="24"/>
    </w:rPr>
  </w:style>
  <w:style w:type="table" w:styleId="Tabela-Siatka">
    <w:name w:val="Table Grid"/>
    <w:basedOn w:val="Standardowy"/>
    <w:uiPriority w:val="59"/>
    <w:rsid w:val="00D41C6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ytu">
    <w:name w:val="Title"/>
    <w:basedOn w:val="Normalny"/>
    <w:link w:val="TytuZnak"/>
    <w:qFormat/>
    <w:rsid w:val="00D41C60"/>
    <w:pPr>
      <w:ind w:left="7080" w:firstLine="291"/>
      <w:jc w:val="center"/>
    </w:pPr>
    <w:rPr>
      <w:rFonts w:ascii="Times New Roman" w:hAnsi="Times New Roman" w:cs="Times New Roman"/>
      <w:b/>
      <w:i/>
    </w:rPr>
  </w:style>
  <w:style w:type="character" w:customStyle="1" w:styleId="TytuZnak">
    <w:name w:val="Tytuł Znak"/>
    <w:link w:val="Tytu"/>
    <w:rsid w:val="00D41C60"/>
    <w:rPr>
      <w:b/>
      <w:i/>
      <w:sz w:val="24"/>
      <w:szCs w:val="24"/>
    </w:rPr>
  </w:style>
  <w:style w:type="paragraph" w:styleId="Spistreci1">
    <w:name w:val="toc 1"/>
    <w:basedOn w:val="Normalny"/>
    <w:next w:val="Normalny"/>
    <w:autoRedefine/>
    <w:uiPriority w:val="39"/>
    <w:rsid w:val="00D41C60"/>
    <w:pPr>
      <w:tabs>
        <w:tab w:val="right" w:leader="dot" w:pos="9060"/>
      </w:tabs>
      <w:spacing w:before="120" w:after="120"/>
    </w:pPr>
    <w:rPr>
      <w:rFonts w:ascii="Tahoma" w:hAnsi="Tahoma"/>
      <w:bCs/>
      <w:caps/>
      <w:noProof/>
    </w:rPr>
  </w:style>
  <w:style w:type="character" w:styleId="Hipercze">
    <w:name w:val="Hyperlink"/>
    <w:uiPriority w:val="99"/>
    <w:rsid w:val="00D41C60"/>
    <w:rPr>
      <w:color w:val="0000FF"/>
      <w:u w:val="single"/>
    </w:rPr>
  </w:style>
  <w:style w:type="paragraph" w:styleId="Spistreci2">
    <w:name w:val="toc 2"/>
    <w:basedOn w:val="Normalny"/>
    <w:next w:val="Normalny"/>
    <w:autoRedefine/>
    <w:uiPriority w:val="39"/>
    <w:rsid w:val="00D41C60"/>
    <w:rPr>
      <w:rFonts w:ascii="Times New Roman" w:hAnsi="Times New Roman" w:cs="Times New Roman"/>
    </w:rPr>
  </w:style>
  <w:style w:type="paragraph" w:styleId="Tekstprzypisudolnego">
    <w:name w:val="footnote text"/>
    <w:basedOn w:val="Normalny"/>
    <w:link w:val="TekstprzypisudolnegoZnak"/>
    <w:rsid w:val="00D41C60"/>
    <w:pPr>
      <w:suppressAutoHyphens/>
      <w:autoSpaceDE w:val="0"/>
      <w:ind w:left="357"/>
      <w:jc w:val="both"/>
    </w:pPr>
    <w:rPr>
      <w:rFonts w:ascii="Times New Roman" w:hAnsi="Times New Roman" w:cs="Times New Roman"/>
      <w:color w:val="0000FF"/>
      <w:position w:val="-9"/>
      <w:sz w:val="16"/>
      <w:szCs w:val="20"/>
      <w:lang w:eastAsia="ar-SA"/>
    </w:rPr>
  </w:style>
  <w:style w:type="character" w:customStyle="1" w:styleId="TekstprzypisudolnegoZnak">
    <w:name w:val="Tekst przypisu dolnego Znak"/>
    <w:link w:val="Tekstprzypisudolnego"/>
    <w:rsid w:val="00D41C60"/>
    <w:rPr>
      <w:color w:val="0000FF"/>
      <w:position w:val="-9"/>
      <w:sz w:val="16"/>
      <w:lang w:eastAsia="ar-SA"/>
    </w:rPr>
  </w:style>
  <w:style w:type="paragraph" w:styleId="Nagwekspisutreci">
    <w:name w:val="TOC Heading"/>
    <w:basedOn w:val="Nagwek1"/>
    <w:next w:val="Normalny"/>
    <w:uiPriority w:val="39"/>
    <w:semiHidden/>
    <w:unhideWhenUsed/>
    <w:qFormat/>
    <w:rsid w:val="00D41C60"/>
    <w:pPr>
      <w:keepLines/>
      <w:spacing w:before="480" w:line="276" w:lineRule="auto"/>
      <w:jc w:val="left"/>
      <w:outlineLvl w:val="9"/>
    </w:pPr>
    <w:rPr>
      <w:rFonts w:ascii="Cambria" w:hAnsi="Cambria"/>
      <w:color w:val="365F91"/>
      <w:sz w:val="28"/>
      <w:szCs w:val="28"/>
      <w:lang w:eastAsia="en-US"/>
    </w:rPr>
  </w:style>
  <w:style w:type="character" w:styleId="Uwydatnienie">
    <w:name w:val="Emphasis"/>
    <w:uiPriority w:val="20"/>
    <w:qFormat/>
    <w:rsid w:val="00D41C60"/>
    <w:rPr>
      <w:i/>
      <w:iCs/>
    </w:rPr>
  </w:style>
  <w:style w:type="character" w:customStyle="1" w:styleId="markedcontent">
    <w:name w:val="markedcontent"/>
    <w:basedOn w:val="Domylnaczcionkaakapitu"/>
    <w:rsid w:val="00A77A86"/>
  </w:style>
  <w:style w:type="character" w:customStyle="1" w:styleId="UnresolvedMention">
    <w:name w:val="Unresolved Mention"/>
    <w:basedOn w:val="Domylnaczcionkaakapitu"/>
    <w:uiPriority w:val="99"/>
    <w:semiHidden/>
    <w:unhideWhenUsed/>
    <w:rsid w:val="007179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2761">
      <w:bodyDiv w:val="1"/>
      <w:marLeft w:val="0"/>
      <w:marRight w:val="0"/>
      <w:marTop w:val="0"/>
      <w:marBottom w:val="0"/>
      <w:divBdr>
        <w:top w:val="none" w:sz="0" w:space="0" w:color="auto"/>
        <w:left w:val="none" w:sz="0" w:space="0" w:color="auto"/>
        <w:bottom w:val="none" w:sz="0" w:space="0" w:color="auto"/>
        <w:right w:val="none" w:sz="0" w:space="0" w:color="auto"/>
      </w:divBdr>
    </w:div>
    <w:div w:id="43725933">
      <w:bodyDiv w:val="1"/>
      <w:marLeft w:val="0"/>
      <w:marRight w:val="0"/>
      <w:marTop w:val="0"/>
      <w:marBottom w:val="0"/>
      <w:divBdr>
        <w:top w:val="none" w:sz="0" w:space="0" w:color="auto"/>
        <w:left w:val="none" w:sz="0" w:space="0" w:color="auto"/>
        <w:bottom w:val="none" w:sz="0" w:space="0" w:color="auto"/>
        <w:right w:val="none" w:sz="0" w:space="0" w:color="auto"/>
      </w:divBdr>
    </w:div>
    <w:div w:id="44531093">
      <w:bodyDiv w:val="1"/>
      <w:marLeft w:val="0"/>
      <w:marRight w:val="0"/>
      <w:marTop w:val="0"/>
      <w:marBottom w:val="0"/>
      <w:divBdr>
        <w:top w:val="none" w:sz="0" w:space="0" w:color="auto"/>
        <w:left w:val="none" w:sz="0" w:space="0" w:color="auto"/>
        <w:bottom w:val="none" w:sz="0" w:space="0" w:color="auto"/>
        <w:right w:val="none" w:sz="0" w:space="0" w:color="auto"/>
      </w:divBdr>
      <w:divsChild>
        <w:div w:id="740058736">
          <w:marLeft w:val="547"/>
          <w:marRight w:val="0"/>
          <w:marTop w:val="154"/>
          <w:marBottom w:val="0"/>
          <w:divBdr>
            <w:top w:val="none" w:sz="0" w:space="0" w:color="auto"/>
            <w:left w:val="none" w:sz="0" w:space="0" w:color="auto"/>
            <w:bottom w:val="none" w:sz="0" w:space="0" w:color="auto"/>
            <w:right w:val="none" w:sz="0" w:space="0" w:color="auto"/>
          </w:divBdr>
        </w:div>
      </w:divsChild>
    </w:div>
    <w:div w:id="48774522">
      <w:bodyDiv w:val="1"/>
      <w:marLeft w:val="0"/>
      <w:marRight w:val="0"/>
      <w:marTop w:val="0"/>
      <w:marBottom w:val="0"/>
      <w:divBdr>
        <w:top w:val="none" w:sz="0" w:space="0" w:color="auto"/>
        <w:left w:val="none" w:sz="0" w:space="0" w:color="auto"/>
        <w:bottom w:val="none" w:sz="0" w:space="0" w:color="auto"/>
        <w:right w:val="none" w:sz="0" w:space="0" w:color="auto"/>
      </w:divBdr>
    </w:div>
    <w:div w:id="331026572">
      <w:bodyDiv w:val="1"/>
      <w:marLeft w:val="0"/>
      <w:marRight w:val="0"/>
      <w:marTop w:val="0"/>
      <w:marBottom w:val="0"/>
      <w:divBdr>
        <w:top w:val="none" w:sz="0" w:space="0" w:color="auto"/>
        <w:left w:val="none" w:sz="0" w:space="0" w:color="auto"/>
        <w:bottom w:val="none" w:sz="0" w:space="0" w:color="auto"/>
        <w:right w:val="none" w:sz="0" w:space="0" w:color="auto"/>
      </w:divBdr>
    </w:div>
    <w:div w:id="335882498">
      <w:bodyDiv w:val="1"/>
      <w:marLeft w:val="0"/>
      <w:marRight w:val="0"/>
      <w:marTop w:val="0"/>
      <w:marBottom w:val="0"/>
      <w:divBdr>
        <w:top w:val="none" w:sz="0" w:space="0" w:color="auto"/>
        <w:left w:val="none" w:sz="0" w:space="0" w:color="auto"/>
        <w:bottom w:val="none" w:sz="0" w:space="0" w:color="auto"/>
        <w:right w:val="none" w:sz="0" w:space="0" w:color="auto"/>
      </w:divBdr>
      <w:divsChild>
        <w:div w:id="360862978">
          <w:marLeft w:val="547"/>
          <w:marRight w:val="0"/>
          <w:marTop w:val="154"/>
          <w:marBottom w:val="0"/>
          <w:divBdr>
            <w:top w:val="none" w:sz="0" w:space="0" w:color="auto"/>
            <w:left w:val="none" w:sz="0" w:space="0" w:color="auto"/>
            <w:bottom w:val="none" w:sz="0" w:space="0" w:color="auto"/>
            <w:right w:val="none" w:sz="0" w:space="0" w:color="auto"/>
          </w:divBdr>
        </w:div>
        <w:div w:id="544801836">
          <w:marLeft w:val="547"/>
          <w:marRight w:val="0"/>
          <w:marTop w:val="154"/>
          <w:marBottom w:val="0"/>
          <w:divBdr>
            <w:top w:val="none" w:sz="0" w:space="0" w:color="auto"/>
            <w:left w:val="none" w:sz="0" w:space="0" w:color="auto"/>
            <w:bottom w:val="none" w:sz="0" w:space="0" w:color="auto"/>
            <w:right w:val="none" w:sz="0" w:space="0" w:color="auto"/>
          </w:divBdr>
        </w:div>
      </w:divsChild>
    </w:div>
    <w:div w:id="544219316">
      <w:bodyDiv w:val="1"/>
      <w:marLeft w:val="0"/>
      <w:marRight w:val="0"/>
      <w:marTop w:val="0"/>
      <w:marBottom w:val="0"/>
      <w:divBdr>
        <w:top w:val="none" w:sz="0" w:space="0" w:color="auto"/>
        <w:left w:val="none" w:sz="0" w:space="0" w:color="auto"/>
        <w:bottom w:val="none" w:sz="0" w:space="0" w:color="auto"/>
        <w:right w:val="none" w:sz="0" w:space="0" w:color="auto"/>
      </w:divBdr>
      <w:divsChild>
        <w:div w:id="1303540458">
          <w:marLeft w:val="547"/>
          <w:marRight w:val="0"/>
          <w:marTop w:val="154"/>
          <w:marBottom w:val="0"/>
          <w:divBdr>
            <w:top w:val="none" w:sz="0" w:space="0" w:color="auto"/>
            <w:left w:val="none" w:sz="0" w:space="0" w:color="auto"/>
            <w:bottom w:val="none" w:sz="0" w:space="0" w:color="auto"/>
            <w:right w:val="none" w:sz="0" w:space="0" w:color="auto"/>
          </w:divBdr>
        </w:div>
      </w:divsChild>
    </w:div>
    <w:div w:id="980384430">
      <w:bodyDiv w:val="1"/>
      <w:marLeft w:val="0"/>
      <w:marRight w:val="0"/>
      <w:marTop w:val="0"/>
      <w:marBottom w:val="0"/>
      <w:divBdr>
        <w:top w:val="none" w:sz="0" w:space="0" w:color="auto"/>
        <w:left w:val="none" w:sz="0" w:space="0" w:color="auto"/>
        <w:bottom w:val="none" w:sz="0" w:space="0" w:color="auto"/>
        <w:right w:val="none" w:sz="0" w:space="0" w:color="auto"/>
      </w:divBdr>
      <w:divsChild>
        <w:div w:id="988942766">
          <w:marLeft w:val="547"/>
          <w:marRight w:val="0"/>
          <w:marTop w:val="154"/>
          <w:marBottom w:val="0"/>
          <w:divBdr>
            <w:top w:val="none" w:sz="0" w:space="0" w:color="auto"/>
            <w:left w:val="none" w:sz="0" w:space="0" w:color="auto"/>
            <w:bottom w:val="none" w:sz="0" w:space="0" w:color="auto"/>
            <w:right w:val="none" w:sz="0" w:space="0" w:color="auto"/>
          </w:divBdr>
        </w:div>
        <w:div w:id="1789664310">
          <w:marLeft w:val="547"/>
          <w:marRight w:val="0"/>
          <w:marTop w:val="154"/>
          <w:marBottom w:val="0"/>
          <w:divBdr>
            <w:top w:val="none" w:sz="0" w:space="0" w:color="auto"/>
            <w:left w:val="none" w:sz="0" w:space="0" w:color="auto"/>
            <w:bottom w:val="none" w:sz="0" w:space="0" w:color="auto"/>
            <w:right w:val="none" w:sz="0" w:space="0" w:color="auto"/>
          </w:divBdr>
        </w:div>
      </w:divsChild>
    </w:div>
    <w:div w:id="1110662357">
      <w:bodyDiv w:val="1"/>
      <w:marLeft w:val="0"/>
      <w:marRight w:val="0"/>
      <w:marTop w:val="0"/>
      <w:marBottom w:val="0"/>
      <w:divBdr>
        <w:top w:val="none" w:sz="0" w:space="0" w:color="auto"/>
        <w:left w:val="none" w:sz="0" w:space="0" w:color="auto"/>
        <w:bottom w:val="none" w:sz="0" w:space="0" w:color="auto"/>
        <w:right w:val="none" w:sz="0" w:space="0" w:color="auto"/>
      </w:divBdr>
      <w:divsChild>
        <w:div w:id="1856504003">
          <w:marLeft w:val="547"/>
          <w:marRight w:val="0"/>
          <w:marTop w:val="154"/>
          <w:marBottom w:val="0"/>
          <w:divBdr>
            <w:top w:val="none" w:sz="0" w:space="0" w:color="auto"/>
            <w:left w:val="none" w:sz="0" w:space="0" w:color="auto"/>
            <w:bottom w:val="none" w:sz="0" w:space="0" w:color="auto"/>
            <w:right w:val="none" w:sz="0" w:space="0" w:color="auto"/>
          </w:divBdr>
        </w:div>
      </w:divsChild>
    </w:div>
    <w:div w:id="1157190039">
      <w:bodyDiv w:val="1"/>
      <w:marLeft w:val="0"/>
      <w:marRight w:val="0"/>
      <w:marTop w:val="0"/>
      <w:marBottom w:val="0"/>
      <w:divBdr>
        <w:top w:val="none" w:sz="0" w:space="0" w:color="auto"/>
        <w:left w:val="none" w:sz="0" w:space="0" w:color="auto"/>
        <w:bottom w:val="none" w:sz="0" w:space="0" w:color="auto"/>
        <w:right w:val="none" w:sz="0" w:space="0" w:color="auto"/>
      </w:divBdr>
      <w:divsChild>
        <w:div w:id="483162848">
          <w:marLeft w:val="547"/>
          <w:marRight w:val="0"/>
          <w:marTop w:val="154"/>
          <w:marBottom w:val="0"/>
          <w:divBdr>
            <w:top w:val="none" w:sz="0" w:space="0" w:color="auto"/>
            <w:left w:val="none" w:sz="0" w:space="0" w:color="auto"/>
            <w:bottom w:val="none" w:sz="0" w:space="0" w:color="auto"/>
            <w:right w:val="none" w:sz="0" w:space="0" w:color="auto"/>
          </w:divBdr>
        </w:div>
        <w:div w:id="714082930">
          <w:marLeft w:val="547"/>
          <w:marRight w:val="0"/>
          <w:marTop w:val="154"/>
          <w:marBottom w:val="0"/>
          <w:divBdr>
            <w:top w:val="none" w:sz="0" w:space="0" w:color="auto"/>
            <w:left w:val="none" w:sz="0" w:space="0" w:color="auto"/>
            <w:bottom w:val="none" w:sz="0" w:space="0" w:color="auto"/>
            <w:right w:val="none" w:sz="0" w:space="0" w:color="auto"/>
          </w:divBdr>
        </w:div>
        <w:div w:id="1731492511">
          <w:marLeft w:val="547"/>
          <w:marRight w:val="0"/>
          <w:marTop w:val="154"/>
          <w:marBottom w:val="0"/>
          <w:divBdr>
            <w:top w:val="none" w:sz="0" w:space="0" w:color="auto"/>
            <w:left w:val="none" w:sz="0" w:space="0" w:color="auto"/>
            <w:bottom w:val="none" w:sz="0" w:space="0" w:color="auto"/>
            <w:right w:val="none" w:sz="0" w:space="0" w:color="auto"/>
          </w:divBdr>
        </w:div>
      </w:divsChild>
    </w:div>
    <w:div w:id="1231692888">
      <w:bodyDiv w:val="1"/>
      <w:marLeft w:val="0"/>
      <w:marRight w:val="0"/>
      <w:marTop w:val="0"/>
      <w:marBottom w:val="0"/>
      <w:divBdr>
        <w:top w:val="none" w:sz="0" w:space="0" w:color="auto"/>
        <w:left w:val="none" w:sz="0" w:space="0" w:color="auto"/>
        <w:bottom w:val="none" w:sz="0" w:space="0" w:color="auto"/>
        <w:right w:val="none" w:sz="0" w:space="0" w:color="auto"/>
      </w:divBdr>
      <w:divsChild>
        <w:div w:id="56904879">
          <w:marLeft w:val="547"/>
          <w:marRight w:val="0"/>
          <w:marTop w:val="154"/>
          <w:marBottom w:val="0"/>
          <w:divBdr>
            <w:top w:val="none" w:sz="0" w:space="0" w:color="auto"/>
            <w:left w:val="none" w:sz="0" w:space="0" w:color="auto"/>
            <w:bottom w:val="none" w:sz="0" w:space="0" w:color="auto"/>
            <w:right w:val="none" w:sz="0" w:space="0" w:color="auto"/>
          </w:divBdr>
        </w:div>
        <w:div w:id="282007545">
          <w:marLeft w:val="547"/>
          <w:marRight w:val="0"/>
          <w:marTop w:val="154"/>
          <w:marBottom w:val="0"/>
          <w:divBdr>
            <w:top w:val="none" w:sz="0" w:space="0" w:color="auto"/>
            <w:left w:val="none" w:sz="0" w:space="0" w:color="auto"/>
            <w:bottom w:val="none" w:sz="0" w:space="0" w:color="auto"/>
            <w:right w:val="none" w:sz="0" w:space="0" w:color="auto"/>
          </w:divBdr>
        </w:div>
        <w:div w:id="1083189363">
          <w:marLeft w:val="547"/>
          <w:marRight w:val="0"/>
          <w:marTop w:val="154"/>
          <w:marBottom w:val="0"/>
          <w:divBdr>
            <w:top w:val="none" w:sz="0" w:space="0" w:color="auto"/>
            <w:left w:val="none" w:sz="0" w:space="0" w:color="auto"/>
            <w:bottom w:val="none" w:sz="0" w:space="0" w:color="auto"/>
            <w:right w:val="none" w:sz="0" w:space="0" w:color="auto"/>
          </w:divBdr>
        </w:div>
      </w:divsChild>
    </w:div>
    <w:div w:id="1232154196">
      <w:bodyDiv w:val="1"/>
      <w:marLeft w:val="0"/>
      <w:marRight w:val="0"/>
      <w:marTop w:val="0"/>
      <w:marBottom w:val="0"/>
      <w:divBdr>
        <w:top w:val="none" w:sz="0" w:space="0" w:color="auto"/>
        <w:left w:val="none" w:sz="0" w:space="0" w:color="auto"/>
        <w:bottom w:val="none" w:sz="0" w:space="0" w:color="auto"/>
        <w:right w:val="none" w:sz="0" w:space="0" w:color="auto"/>
      </w:divBdr>
    </w:div>
    <w:div w:id="1371766516">
      <w:bodyDiv w:val="1"/>
      <w:marLeft w:val="0"/>
      <w:marRight w:val="0"/>
      <w:marTop w:val="0"/>
      <w:marBottom w:val="0"/>
      <w:divBdr>
        <w:top w:val="none" w:sz="0" w:space="0" w:color="auto"/>
        <w:left w:val="none" w:sz="0" w:space="0" w:color="auto"/>
        <w:bottom w:val="none" w:sz="0" w:space="0" w:color="auto"/>
        <w:right w:val="none" w:sz="0" w:space="0" w:color="auto"/>
      </w:divBdr>
      <w:divsChild>
        <w:div w:id="614021987">
          <w:marLeft w:val="547"/>
          <w:marRight w:val="0"/>
          <w:marTop w:val="154"/>
          <w:marBottom w:val="0"/>
          <w:divBdr>
            <w:top w:val="none" w:sz="0" w:space="0" w:color="auto"/>
            <w:left w:val="none" w:sz="0" w:space="0" w:color="auto"/>
            <w:bottom w:val="none" w:sz="0" w:space="0" w:color="auto"/>
            <w:right w:val="none" w:sz="0" w:space="0" w:color="auto"/>
          </w:divBdr>
        </w:div>
        <w:div w:id="1435326123">
          <w:marLeft w:val="547"/>
          <w:marRight w:val="0"/>
          <w:marTop w:val="154"/>
          <w:marBottom w:val="0"/>
          <w:divBdr>
            <w:top w:val="none" w:sz="0" w:space="0" w:color="auto"/>
            <w:left w:val="none" w:sz="0" w:space="0" w:color="auto"/>
            <w:bottom w:val="none" w:sz="0" w:space="0" w:color="auto"/>
            <w:right w:val="none" w:sz="0" w:space="0" w:color="auto"/>
          </w:divBdr>
        </w:div>
      </w:divsChild>
    </w:div>
    <w:div w:id="1438720036">
      <w:bodyDiv w:val="1"/>
      <w:marLeft w:val="0"/>
      <w:marRight w:val="0"/>
      <w:marTop w:val="0"/>
      <w:marBottom w:val="0"/>
      <w:divBdr>
        <w:top w:val="none" w:sz="0" w:space="0" w:color="auto"/>
        <w:left w:val="none" w:sz="0" w:space="0" w:color="auto"/>
        <w:bottom w:val="none" w:sz="0" w:space="0" w:color="auto"/>
        <w:right w:val="none" w:sz="0" w:space="0" w:color="auto"/>
      </w:divBdr>
      <w:divsChild>
        <w:div w:id="86466295">
          <w:marLeft w:val="547"/>
          <w:marRight w:val="0"/>
          <w:marTop w:val="154"/>
          <w:marBottom w:val="0"/>
          <w:divBdr>
            <w:top w:val="none" w:sz="0" w:space="0" w:color="auto"/>
            <w:left w:val="none" w:sz="0" w:space="0" w:color="auto"/>
            <w:bottom w:val="none" w:sz="0" w:space="0" w:color="auto"/>
            <w:right w:val="none" w:sz="0" w:space="0" w:color="auto"/>
          </w:divBdr>
        </w:div>
        <w:div w:id="1927490711">
          <w:marLeft w:val="547"/>
          <w:marRight w:val="0"/>
          <w:marTop w:val="154"/>
          <w:marBottom w:val="0"/>
          <w:divBdr>
            <w:top w:val="none" w:sz="0" w:space="0" w:color="auto"/>
            <w:left w:val="none" w:sz="0" w:space="0" w:color="auto"/>
            <w:bottom w:val="none" w:sz="0" w:space="0" w:color="auto"/>
            <w:right w:val="none" w:sz="0" w:space="0" w:color="auto"/>
          </w:divBdr>
        </w:div>
      </w:divsChild>
    </w:div>
    <w:div w:id="1835140719">
      <w:bodyDiv w:val="1"/>
      <w:marLeft w:val="0"/>
      <w:marRight w:val="0"/>
      <w:marTop w:val="0"/>
      <w:marBottom w:val="0"/>
      <w:divBdr>
        <w:top w:val="none" w:sz="0" w:space="0" w:color="auto"/>
        <w:left w:val="none" w:sz="0" w:space="0" w:color="auto"/>
        <w:bottom w:val="none" w:sz="0" w:space="0" w:color="auto"/>
        <w:right w:val="none" w:sz="0" w:space="0" w:color="auto"/>
      </w:divBdr>
      <w:divsChild>
        <w:div w:id="246304810">
          <w:marLeft w:val="547"/>
          <w:marRight w:val="0"/>
          <w:marTop w:val="154"/>
          <w:marBottom w:val="0"/>
          <w:divBdr>
            <w:top w:val="none" w:sz="0" w:space="0" w:color="auto"/>
            <w:left w:val="none" w:sz="0" w:space="0" w:color="auto"/>
            <w:bottom w:val="none" w:sz="0" w:space="0" w:color="auto"/>
            <w:right w:val="none" w:sz="0" w:space="0" w:color="auto"/>
          </w:divBdr>
        </w:div>
        <w:div w:id="971519414">
          <w:marLeft w:val="547"/>
          <w:marRight w:val="0"/>
          <w:marTop w:val="154"/>
          <w:marBottom w:val="0"/>
          <w:divBdr>
            <w:top w:val="none" w:sz="0" w:space="0" w:color="auto"/>
            <w:left w:val="none" w:sz="0" w:space="0" w:color="auto"/>
            <w:bottom w:val="none" w:sz="0" w:space="0" w:color="auto"/>
            <w:right w:val="none" w:sz="0" w:space="0" w:color="auto"/>
          </w:divBdr>
        </w:div>
      </w:divsChild>
    </w:div>
    <w:div w:id="2143881319">
      <w:bodyDiv w:val="1"/>
      <w:marLeft w:val="0"/>
      <w:marRight w:val="0"/>
      <w:marTop w:val="0"/>
      <w:marBottom w:val="0"/>
      <w:divBdr>
        <w:top w:val="none" w:sz="0" w:space="0" w:color="auto"/>
        <w:left w:val="none" w:sz="0" w:space="0" w:color="auto"/>
        <w:bottom w:val="none" w:sz="0" w:space="0" w:color="auto"/>
        <w:right w:val="none" w:sz="0" w:space="0" w:color="auto"/>
      </w:divBdr>
      <w:divsChild>
        <w:div w:id="387145817">
          <w:marLeft w:val="547"/>
          <w:marRight w:val="0"/>
          <w:marTop w:val="154"/>
          <w:marBottom w:val="0"/>
          <w:divBdr>
            <w:top w:val="none" w:sz="0" w:space="0" w:color="auto"/>
            <w:left w:val="none" w:sz="0" w:space="0" w:color="auto"/>
            <w:bottom w:val="none" w:sz="0" w:space="0" w:color="auto"/>
            <w:right w:val="none" w:sz="0" w:space="0" w:color="auto"/>
          </w:divBdr>
        </w:div>
        <w:div w:id="779181576">
          <w:marLeft w:val="547"/>
          <w:marRight w:val="0"/>
          <w:marTop w:val="154"/>
          <w:marBottom w:val="0"/>
          <w:divBdr>
            <w:top w:val="none" w:sz="0" w:space="0" w:color="auto"/>
            <w:left w:val="none" w:sz="0" w:space="0" w:color="auto"/>
            <w:bottom w:val="none" w:sz="0" w:space="0" w:color="auto"/>
            <w:right w:val="none" w:sz="0" w:space="0" w:color="auto"/>
          </w:divBdr>
        </w:div>
        <w:div w:id="837385223">
          <w:marLeft w:val="547"/>
          <w:marRight w:val="0"/>
          <w:marTop w:val="154"/>
          <w:marBottom w:val="0"/>
          <w:divBdr>
            <w:top w:val="none" w:sz="0" w:space="0" w:color="auto"/>
            <w:left w:val="none" w:sz="0" w:space="0" w:color="auto"/>
            <w:bottom w:val="none" w:sz="0" w:space="0" w:color="auto"/>
            <w:right w:val="none" w:sz="0" w:space="0" w:color="auto"/>
          </w:divBdr>
        </w:div>
        <w:div w:id="970356272">
          <w:marLeft w:val="547"/>
          <w:marRight w:val="0"/>
          <w:marTop w:val="154"/>
          <w:marBottom w:val="0"/>
          <w:divBdr>
            <w:top w:val="none" w:sz="0" w:space="0" w:color="auto"/>
            <w:left w:val="none" w:sz="0" w:space="0" w:color="auto"/>
            <w:bottom w:val="none" w:sz="0" w:space="0" w:color="auto"/>
            <w:right w:val="none" w:sz="0" w:space="0" w:color="auto"/>
          </w:divBdr>
        </w:div>
        <w:div w:id="1584952905">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bsgoworowo.p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sgoworowo.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bsgoworow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8076</Words>
  <Characters>48462</Characters>
  <Application>Microsoft Office Word</Application>
  <DocSecurity>0</DocSecurity>
  <Lines>403</Lines>
  <Paragraphs>112</Paragraphs>
  <ScaleCrop>false</ScaleCrop>
  <HeadingPairs>
    <vt:vector size="2" baseType="variant">
      <vt:variant>
        <vt:lpstr>Tytuł</vt:lpstr>
      </vt:variant>
      <vt:variant>
        <vt:i4>1</vt:i4>
      </vt:variant>
    </vt:vector>
  </HeadingPairs>
  <TitlesOfParts>
    <vt:vector size="1" baseType="lpstr">
      <vt:lpstr>Załącznik do Uchwały Zarządu</vt:lpstr>
    </vt:vector>
  </TitlesOfParts>
  <Company>Hewlett-Packard</Company>
  <LinksUpToDate>false</LinksUpToDate>
  <CharactersWithSpaces>56426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do Uchwały Zarządu</dc:title>
  <dc:creator>ppp</dc:creator>
  <cp:lastModifiedBy>ACER</cp:lastModifiedBy>
  <cp:revision>2</cp:revision>
  <cp:lastPrinted>2025-07-21T09:00:00Z</cp:lastPrinted>
  <dcterms:created xsi:type="dcterms:W3CDTF">2025-09-02T08:46:00Z</dcterms:created>
  <dcterms:modified xsi:type="dcterms:W3CDTF">2025-09-02T08:46:00Z</dcterms:modified>
</cp:coreProperties>
</file>